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CRO &amp; Reporting · 🟢 Easy Tier · NextMarketing Case Study</w:t>
      </w:r>
    </w:p>
    <w:p>
      <w:pPr>
        <w:spacing w:after="80"/>
      </w:pPr>
      <w:r>
        <w:rPr>
          <w:rFonts w:ascii="Calibri" w:cs="Calibri" w:eastAsia="Calibri" w:hAnsi="Calibri"/>
          <w:b/>
          <w:bCs/>
          <w:color w:val="0A2540"/>
          <w:sz w:val="46"/>
          <w:szCs w:val="46"/>
        </w:rPr>
        <w:t xml:space="preserve">Monthly Analytics Report</w:t>
      </w:r>
    </w:p>
    <w:p>
      <w:pPr>
        <w:spacing w:after="80"/>
      </w:pPr>
      <w:r>
        <w:rPr>
          <w:rFonts w:ascii="Calibri" w:cs="Calibri" w:eastAsia="Calibri" w:hAnsi="Calibri"/>
          <w:i/>
          <w:iCs/>
          <w:color w:val="555555"/>
          <w:sz w:val="22"/>
          <w:szCs w:val="22"/>
        </w:rPr>
        <w:t xml:space="preserve">How a logistics company got full visibility into its marketing performance — and reallocated budget to channels delivering 220% higher ROI</w:t>
      </w:r>
    </w:p>
    <w:p>
      <w:pPr>
        <w:spacing w:after="80"/>
      </w:pPr>
      <w:r>
        <w:rPr>
          <w:rFonts w:ascii="Calibri" w:cs="Calibri" w:eastAsia="Calibri" w:hAnsi="Calibri"/>
          <w:color w:val="64748B"/>
          <w:sz w:val="20"/>
          <w:szCs w:val="20"/>
        </w:rPr>
        <w:t xml:space="preserve">🏢 FastRoute Logistics Sdn Bhd · Regional Logistics   |   📅 Jan – Mar 2026 · 3 months   |   📊 GA4 + Ads + Social Dashboard   |   📍 Shah Alam · Johor Bahru · Penang</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D4EA" w:sz="4"/>
              <w:left w:val="single" w:color="C0D4EA" w:sz="4"/>
              <w:bottom w:val="single" w:color="C0D4EA" w:sz="4"/>
              <w:right w:val="single" w:color="C0D4EA" w:sz="4"/>
            </w:tcBorders>
            <w:shd w:fill="EEF4FB" w:color="auto" w:val="clear"/>
            <w:tcMar>
              <w:top w:type="dxa" w:w="172"/>
              <w:left w:type="dxa" w:w="144"/>
              <w:bottom w:type="dxa" w:w="172"/>
              <w:right w:type="dxa" w:w="144"/>
            </w:tcMar>
          </w:tcPr>
          <w:p>
            <w:pPr>
              <w:spacing w:after="40"/>
              <w:jc w:val="center"/>
            </w:pPr>
            <w:r>
              <w:rPr>
                <w:rFonts w:ascii="Calibri" w:cs="Calibri" w:eastAsia="Calibri" w:hAnsi="Calibri"/>
                <w:b/>
                <w:bCs/>
                <w:color w:val="0A2540"/>
                <w:sz w:val="40"/>
                <w:szCs w:val="40"/>
              </w:rPr>
              <w:t xml:space="preserve">100%</w:t>
            </w:r>
          </w:p>
          <w:p>
            <w:pPr>
              <w:jc w:val="center"/>
            </w:pPr>
            <w:r>
              <w:rPr>
                <w:rFonts w:ascii="Calibri" w:cs="Calibri" w:eastAsia="Calibri" w:hAnsi="Calibri"/>
                <w:color w:val="555555"/>
                <w:sz w:val="20"/>
                <w:szCs w:val="20"/>
              </w:rPr>
              <w:t xml:space="preserve">Marketing Data Visibility Achieved</w:t>
            </w:r>
          </w:p>
        </w:tc>
        <w:tc>
          <w:tcPr>
            <w:tcBorders>
              <w:top w:val="single" w:color="C0D4EA" w:sz="4"/>
              <w:left w:val="single" w:color="C0D4EA" w:sz="4"/>
              <w:bottom w:val="single" w:color="C0D4EA" w:sz="4"/>
              <w:right w:val="single" w:color="C0D4EA" w:sz="4"/>
            </w:tcBorders>
            <w:shd w:fill="EEF4FB" w:color="auto" w:val="clear"/>
            <w:tcMar>
              <w:top w:type="dxa" w:w="172"/>
              <w:left w:type="dxa" w:w="144"/>
              <w:bottom w:type="dxa" w:w="172"/>
              <w:right w:type="dxa" w:w="144"/>
            </w:tcMar>
          </w:tcPr>
          <w:p>
            <w:pPr>
              <w:spacing w:after="40"/>
              <w:jc w:val="center"/>
            </w:pPr>
            <w:r>
              <w:rPr>
                <w:rFonts w:ascii="Calibri" w:cs="Calibri" w:eastAsia="Calibri" w:hAnsi="Calibri"/>
                <w:b/>
                <w:bCs/>
                <w:color w:val="0A2540"/>
                <w:sz w:val="40"/>
                <w:szCs w:val="40"/>
              </w:rPr>
              <w:t xml:space="preserve">3</w:t>
            </w:r>
          </w:p>
          <w:p>
            <w:pPr>
              <w:jc w:val="center"/>
            </w:pPr>
            <w:r>
              <w:rPr>
                <w:rFonts w:ascii="Calibri" w:cs="Calibri" w:eastAsia="Calibri" w:hAnsi="Calibri"/>
                <w:color w:val="555555"/>
                <w:sz w:val="20"/>
                <w:szCs w:val="20"/>
              </w:rPr>
              <w:t xml:space="preserve">Underperforming Channels Found</w:t>
            </w:r>
          </w:p>
        </w:tc>
        <w:tc>
          <w:tcPr>
            <w:tcBorders>
              <w:top w:val="single" w:color="C0D4EA" w:sz="4"/>
              <w:left w:val="single" w:color="C0D4EA" w:sz="4"/>
              <w:bottom w:val="single" w:color="C0D4EA" w:sz="4"/>
              <w:right w:val="single" w:color="C0D4EA" w:sz="4"/>
            </w:tcBorders>
            <w:shd w:fill="EEF4FB" w:color="auto" w:val="clear"/>
            <w:tcMar>
              <w:top w:type="dxa" w:w="172"/>
              <w:left w:type="dxa" w:w="144"/>
              <w:bottom w:type="dxa" w:w="172"/>
              <w:right w:type="dxa" w:w="144"/>
            </w:tcMar>
          </w:tcPr>
          <w:p>
            <w:pPr>
              <w:spacing w:after="40"/>
              <w:jc w:val="center"/>
            </w:pPr>
            <w:r>
              <w:rPr>
                <w:rFonts w:ascii="Calibri" w:cs="Calibri" w:eastAsia="Calibri" w:hAnsi="Calibri"/>
                <w:b/>
                <w:bCs/>
                <w:color w:val="0A2540"/>
                <w:sz w:val="40"/>
                <w:szCs w:val="40"/>
              </w:rPr>
              <w:t xml:space="preserve">+220%</w:t>
            </w:r>
          </w:p>
          <w:p>
            <w:pPr>
              <w:jc w:val="center"/>
            </w:pPr>
            <w:r>
              <w:rPr>
                <w:rFonts w:ascii="Calibri" w:cs="Calibri" w:eastAsia="Calibri" w:hAnsi="Calibri"/>
                <w:color w:val="555555"/>
                <w:sz w:val="20"/>
                <w:szCs w:val="20"/>
              </w:rPr>
              <w:t xml:space="preserve">ROI on Reallocated Budget</w:t>
            </w:r>
          </w:p>
        </w:tc>
      </w:tr>
    </w:tbl>
    <w:p>
      <w:pPr>
        <w:spacing w:after="12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Client Overview</w:t>
      </w:r>
    </w:p>
    <w:p>
      <w:pPr>
        <w:spacing w:after="100"/>
      </w:pPr>
      <w:r>
        <w:rPr>
          <w:rFonts w:ascii="Calibri" w:cs="Calibri" w:eastAsia="Calibri" w:hAnsi="Calibri"/>
          <w:color w:val="333333"/>
          <w:sz w:val="22"/>
          <w:szCs w:val="22"/>
        </w:rPr>
        <w:t xml:space="preserve">FastRoute Logistics operates a regional last-mile delivery network covering Klang Valley, Johor Bahru, and Penang. With a fleet of 140 vehicles and 3 depot locations, they spend RM12,000/month on marketing across Google Ads, Facebook Ads, LinkedIn, and SEO — managed by a 2-person in-house team.</w:t>
      </w:r>
    </w:p>
    <w:p>
      <w:pPr>
        <w:spacing w:after="100"/>
      </w:pPr>
      <w:r>
        <w:rPr>
          <w:rFonts w:ascii="Calibri" w:cs="Calibri" w:eastAsia="Calibri" w:hAnsi="Calibri"/>
          <w:color w:val="333333"/>
          <w:sz w:val="22"/>
          <w:szCs w:val="22"/>
        </w:rPr>
        <w:t xml:space="preserve">The problem: each channel was tracked separately (or not at all), budget decisions were made on gut feel, and the marketing manager could not tell the CEO which channel was actually driving qualified leads. Monthly reporting was a manually compiled spreadsheet that took 3 days to build.</w:t>
      </w:r>
    </w:p>
    <w:p>
      <w:pPr>
        <w:spacing w:after="100"/>
      </w:pPr>
      <w:r>
        <w:rPr>
          <w:rFonts w:ascii="Calibri" w:cs="Calibri" w:eastAsia="Calibri" w:hAnsi="Calibri"/>
          <w:color w:val="333333"/>
          <w:sz w:val="22"/>
          <w:szCs w:val="22"/>
        </w:rPr>
        <w:t xml:space="preserve">FastRoute Logistics operates a regional last-mile delivery network covering Klang Valley, Johor Bahru, and Penang. With a fleet of 140 vehicles and 3 depot locations, they spend RM12,000/month on marketing across Google Ads, Facebook Ads, LinkedIn, and SEO — managed by a 2-person in-house team.</w:t>
      </w:r>
    </w:p>
    <w:p>
      <w:pPr>
        <w:spacing w:after="100"/>
      </w:pPr>
      <w:r>
        <w:rPr>
          <w:rFonts w:ascii="Calibri" w:cs="Calibri" w:eastAsia="Calibri" w:hAnsi="Calibri"/>
          <w:color w:val="333333"/>
          <w:sz w:val="22"/>
          <w:szCs w:val="22"/>
        </w:rPr>
        <w:t xml:space="preserve">The problem: each channel was tracked separately (or not at all), budget decisions were made on gut feel, and the marketing manager could not tell the CEO which channel was actually driving qualified leads. Monthly reporting was a manually compiled spreadsheet that took 3 days to build.</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The Challenge</w:t>
      </w:r>
    </w:p>
    <w:p>
      <w:pPr>
        <w:pStyle w:val="ListParagraph"/>
        <w:numPr>
          <w:ilvl w:val="0"/>
          <w:numId w:val="1"/>
        </w:numPr>
        <w:spacing w:after="80"/>
      </w:pPr>
      <w:r>
        <w:rPr>
          <w:rFonts w:ascii="Calibri" w:cs="Calibri" w:eastAsia="Calibri" w:hAnsi="Calibri"/>
          <w:color w:val="333333"/>
          <w:sz w:val="22"/>
          <w:szCs w:val="22"/>
        </w:rPr>
        <w:t xml:space="preserve">5 separate tools (Google Ads, Meta Ads Manager, GA4, LinkedIn Analytics, Buffer) — no unified view</w:t>
      </w:r>
    </w:p>
    <w:p>
      <w:pPr>
        <w:pStyle w:val="ListParagraph"/>
        <w:numPr>
          <w:ilvl w:val="0"/>
          <w:numId w:val="1"/>
        </w:numPr>
        <w:spacing w:after="80"/>
      </w:pPr>
      <w:r>
        <w:rPr>
          <w:rFonts w:ascii="Calibri" w:cs="Calibri" w:eastAsia="Calibri" w:hAnsi="Calibri"/>
          <w:color w:val="333333"/>
          <w:sz w:val="22"/>
          <w:szCs w:val="22"/>
        </w:rPr>
        <w:t xml:space="preserve">GA4 not configured correctly — goals not set, traffic sources mislabelled, conversion tracking missing</w:t>
      </w:r>
    </w:p>
    <w:p>
      <w:pPr>
        <w:pStyle w:val="ListParagraph"/>
        <w:numPr>
          <w:ilvl w:val="0"/>
          <w:numId w:val="1"/>
        </w:numPr>
        <w:spacing w:after="80"/>
      </w:pPr>
      <w:r>
        <w:rPr>
          <w:rFonts w:ascii="Calibri" w:cs="Calibri" w:eastAsia="Calibri" w:hAnsi="Calibri"/>
          <w:color w:val="333333"/>
          <w:sz w:val="22"/>
          <w:szCs w:val="22"/>
        </w:rPr>
        <w:t xml:space="preserve">RM12,000/month budget split across 4 channels with no attribution model — no idea what worked</w:t>
      </w:r>
    </w:p>
    <w:p>
      <w:pPr>
        <w:pStyle w:val="ListParagraph"/>
        <w:numPr>
          <w:ilvl w:val="0"/>
          <w:numId w:val="1"/>
        </w:numPr>
        <w:spacing w:after="80"/>
      </w:pPr>
      <w:r>
        <w:rPr>
          <w:rFonts w:ascii="Calibri" w:cs="Calibri" w:eastAsia="Calibri" w:hAnsi="Calibri"/>
          <w:color w:val="333333"/>
          <w:sz w:val="22"/>
          <w:szCs w:val="22"/>
        </w:rPr>
        <w:t xml:space="preserve">Monthly report took 3 days to compile manually — and still contained errors and data gaps</w:t>
      </w:r>
    </w:p>
    <w:p>
      <w:pPr>
        <w:pStyle w:val="ListParagraph"/>
        <w:numPr>
          <w:ilvl w:val="0"/>
          <w:numId w:val="1"/>
        </w:numPr>
        <w:spacing w:after="80"/>
      </w:pPr>
      <w:r>
        <w:rPr>
          <w:rFonts w:ascii="Calibri" w:cs="Calibri" w:eastAsia="Calibri" w:hAnsi="Calibri"/>
          <w:color w:val="333333"/>
          <w:sz w:val="22"/>
          <w:szCs w:val="22"/>
        </w:rPr>
        <w:t xml:space="preserve">Facebook Ads: RM3,500/month with no conversion tracking — results unmeasurable</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Our Approach — Month by Month</w:t>
      </w:r>
    </w:p>
    <w:p>
      <w:pPr>
        <w:spacing w:after="80" w:before="200"/>
      </w:pPr>
      <w:r>
        <w:rPr>
          <w:rFonts w:ascii="Calibri" w:cs="Calibri" w:eastAsia="Calibri" w:hAnsi="Calibri"/>
          <w:b/>
          <w:bCs/>
          <w:color w:val="FFFFFF"/>
          <w:sz w:val="20"/>
          <w:szCs w:val="20"/>
          <w:shd w:fill="0A2540" w:color="auto" w:val="clear"/>
        </w:rPr>
        <w:t xml:space="preserve">Month 1 · Jan</w:t>
      </w:r>
      <w:r>
        <w:rPr>
          <w:rFonts w:ascii="Calibri" w:cs="Calibri" w:eastAsia="Calibri" w:hAnsi="Calibri"/>
          <w:b/>
          <w:bCs/>
          <w:color w:val="0A2540"/>
          <w:sz w:val="22"/>
          <w:szCs w:val="22"/>
        </w:rPr>
        <w:t xml:space="preserve">   Setup — Data Audit, Tracking Fix &amp; Dashboard Build</w:t>
      </w:r>
    </w:p>
    <w:p>
      <w:pPr>
        <w:pStyle w:val="ListParagraph"/>
        <w:numPr>
          <w:ilvl w:val="0"/>
          <w:numId w:val="1"/>
        </w:numPr>
        <w:spacing w:after="70"/>
        <w:ind w:left="288"/>
      </w:pPr>
      <w:r>
        <w:rPr>
          <w:rFonts w:ascii="Calibri" w:cs="Calibri" w:eastAsia="Calibri" w:hAnsi="Calibri"/>
          <w:color w:val="444444"/>
          <w:sz w:val="21"/>
          <w:szCs w:val="21"/>
        </w:rPr>
        <w:t xml:space="preserve">Conducted a full audit of all marketing data sources — uncovering 4 misconfigured tracking goals, missing campaign attribution across all ad spend, and a 40% inflation in direct traffic caused by untagged sources.</w:t>
      </w:r>
    </w:p>
    <w:p>
      <w:pPr>
        <w:pStyle w:val="ListParagraph"/>
        <w:numPr>
          <w:ilvl w:val="0"/>
          <w:numId w:val="1"/>
        </w:numPr>
        <w:spacing w:after="70"/>
        <w:ind w:left="288"/>
      </w:pPr>
      <w:r>
        <w:rPr>
          <w:rFonts w:ascii="Calibri" w:cs="Calibri" w:eastAsia="Calibri" w:hAnsi="Calibri"/>
          <w:color w:val="444444"/>
          <w:sz w:val="21"/>
          <w:szCs w:val="21"/>
        </w:rPr>
        <w:t xml:space="preserve">Rebuilt the tracking and attribution infrastructure — configuring 6 conversion events and ensuring every active paid campaign reported its traffic source accurately, giving the team clean, actionable data for the first time.</w:t>
      </w:r>
    </w:p>
    <w:p>
      <w:pPr>
        <w:pStyle w:val="ListParagraph"/>
        <w:numPr>
          <w:ilvl w:val="0"/>
          <w:numId w:val="1"/>
        </w:numPr>
        <w:spacing w:after="70"/>
        <w:ind w:left="288"/>
      </w:pPr>
      <w:r>
        <w:rPr>
          <w:rFonts w:ascii="Calibri" w:cs="Calibri" w:eastAsia="Calibri" w:hAnsi="Calibri"/>
          <w:color w:val="444444"/>
          <w:sz w:val="21"/>
          <w:szCs w:val="21"/>
        </w:rPr>
        <w:t xml:space="preserve">Built a unified marketing dashboard consolidating all channel performance into a single view — reducing the monthly reporting task from a 3-day manual process to a 2-hour update, with the first clean month of data delivered in January.</w:t>
      </w:r>
    </w:p>
    <w:p>
      <w:pPr>
        <w:spacing w:after="80" w:before="200"/>
      </w:pPr>
      <w:r>
        <w:rPr>
          <w:rFonts w:ascii="Calibri" w:cs="Calibri" w:eastAsia="Calibri" w:hAnsi="Calibri"/>
          <w:b/>
          <w:bCs/>
          <w:color w:val="FFFFFF"/>
          <w:sz w:val="20"/>
          <w:szCs w:val="20"/>
          <w:shd w:fill="0A2540" w:color="auto" w:val="clear"/>
        </w:rPr>
        <w:t xml:space="preserve">Month 2 · Feb</w:t>
      </w:r>
      <w:r>
        <w:rPr>
          <w:rFonts w:ascii="Calibri" w:cs="Calibri" w:eastAsia="Calibri" w:hAnsi="Calibri"/>
          <w:b/>
          <w:bCs/>
          <w:color w:val="0A2540"/>
          <w:sz w:val="22"/>
          <w:szCs w:val="22"/>
        </w:rPr>
        <w:t xml:space="preserve">   Insight — Underperforming Channels Identified</w:t>
      </w:r>
    </w:p>
    <w:p>
      <w:pPr>
        <w:pStyle w:val="ListParagraph"/>
        <w:numPr>
          <w:ilvl w:val="0"/>
          <w:numId w:val="1"/>
        </w:numPr>
        <w:spacing w:after="70"/>
        <w:ind w:left="288"/>
      </w:pPr>
      <w:r>
        <w:rPr>
          <w:rFonts w:ascii="Calibri" w:cs="Calibri" w:eastAsia="Calibri" w:hAnsi="Calibri"/>
          <w:color w:val="444444"/>
          <w:sz w:val="21"/>
          <w:szCs w:val="21"/>
        </w:rPr>
        <w:t xml:space="preserve">February's first full month of clean data exposed clear underperforming channels — including one spending RM3,500/month at a cost per lead 4× higher than the best-performing channel, and another with broken conversion tracking that had left RM1,800/month of spend completely unmeasured.</w:t>
      </w:r>
    </w:p>
    <w:p>
      <w:pPr>
        <w:pStyle w:val="ListParagraph"/>
        <w:numPr>
          <w:ilvl w:val="0"/>
          <w:numId w:val="1"/>
        </w:numPr>
        <w:spacing w:after="70"/>
        <w:ind w:left="288"/>
      </w:pPr>
      <w:r>
        <w:rPr>
          <w:rFonts w:ascii="Calibri" w:cs="Calibri" w:eastAsia="Calibri" w:hAnsi="Calibri"/>
          <w:color w:val="444444"/>
          <w:sz w:val="21"/>
          <w:szCs w:val="21"/>
        </w:rPr>
        <w:t xml:space="preserve">SEO organic emerged as the highest-ROI channel at near-zero marginal cost — generating 38 qualified leads per month from an asset that had been systematically undervalued in the existing budget allocation.</w:t>
      </w:r>
    </w:p>
    <w:p>
      <w:pPr>
        <w:pStyle w:val="ListParagraph"/>
        <w:numPr>
          <w:ilvl w:val="0"/>
          <w:numId w:val="1"/>
        </w:numPr>
        <w:spacing w:after="70"/>
        <w:ind w:left="288"/>
      </w:pPr>
      <w:r>
        <w:rPr>
          <w:rFonts w:ascii="Calibri" w:cs="Calibri" w:eastAsia="Calibri" w:hAnsi="Calibri"/>
          <w:color w:val="444444"/>
          <w:sz w:val="21"/>
          <w:szCs w:val="21"/>
        </w:rPr>
        <w:t xml:space="preserve">Issued a formal budget reallocation recommendation with CPL data by channel — reduce spend on the underperforming channel, fix the broken LinkedIn tracking, and increase investment in SEO content.</w:t>
      </w:r>
    </w:p>
    <w:p>
      <w:pPr>
        <w:spacing w:after="80" w:before="200"/>
      </w:pPr>
      <w:r>
        <w:rPr>
          <w:rFonts w:ascii="Calibri" w:cs="Calibri" w:eastAsia="Calibri" w:hAnsi="Calibri"/>
          <w:b/>
          <w:bCs/>
          <w:color w:val="FFFFFF"/>
          <w:sz w:val="20"/>
          <w:szCs w:val="20"/>
          <w:shd w:fill="0A2540" w:color="auto" w:val="clear"/>
        </w:rPr>
        <w:t xml:space="preserve">Month 3 · Mar</w:t>
      </w:r>
      <w:r>
        <w:rPr>
          <w:rFonts w:ascii="Calibri" w:cs="Calibri" w:eastAsia="Calibri" w:hAnsi="Calibri"/>
          <w:b/>
          <w:bCs/>
          <w:color w:val="0A2540"/>
          <w:sz w:val="22"/>
          <w:szCs w:val="22"/>
        </w:rPr>
        <w:t xml:space="preserve">   Reallocation — Budget Shift &amp; ROI Improvement</w:t>
      </w:r>
    </w:p>
    <w:p>
      <w:pPr>
        <w:pStyle w:val="ListParagraph"/>
        <w:numPr>
          <w:ilvl w:val="0"/>
          <w:numId w:val="1"/>
        </w:numPr>
        <w:spacing w:after="70"/>
        <w:ind w:left="288"/>
      </w:pPr>
      <w:r>
        <w:rPr>
          <w:rFonts w:ascii="Calibri" w:cs="Calibri" w:eastAsia="Calibri" w:hAnsi="Calibri"/>
          <w:color w:val="444444"/>
          <w:sz w:val="21"/>
          <w:szCs w:val="21"/>
        </w:rPr>
        <w:t xml:space="preserve">The recommended budget reallocation was implemented — redirecting RM1,750 from the underperforming channel into a higher-converting campaign, dropping cost per lead from RM44 to RM31 within the same month.</w:t>
      </w:r>
    </w:p>
    <w:p>
      <w:pPr>
        <w:pStyle w:val="ListParagraph"/>
        <w:numPr>
          <w:ilvl w:val="0"/>
          <w:numId w:val="1"/>
        </w:numPr>
        <w:spacing w:after="70"/>
        <w:ind w:left="288"/>
      </w:pPr>
      <w:r>
        <w:rPr>
          <w:rFonts w:ascii="Calibri" w:cs="Calibri" w:eastAsia="Calibri" w:hAnsi="Calibri"/>
          <w:color w:val="444444"/>
          <w:sz w:val="21"/>
          <w:szCs w:val="21"/>
        </w:rPr>
        <w:t xml:space="preserve">The previously untracked channel was fixed and delivered its first 6 verified leads in March, while SEO organic traffic grew 28% following new content additions — both channels now fully attributed and contributing measurable value.</w:t>
      </w:r>
    </w:p>
    <w:p>
      <w:pPr>
        <w:pStyle w:val="ListParagraph"/>
        <w:numPr>
          <w:ilvl w:val="0"/>
          <w:numId w:val="1"/>
        </w:numPr>
        <w:spacing w:after="70"/>
        <w:ind w:left="288"/>
      </w:pPr>
      <w:r>
        <w:rPr>
          <w:rFonts w:ascii="Calibri" w:cs="Calibri" w:eastAsia="Calibri" w:hAnsi="Calibri"/>
          <w:color w:val="444444"/>
          <w:sz w:val="21"/>
          <w:szCs w:val="21"/>
        </w:rPr>
        <w:t xml:space="preserve">Overall marketing ROI improved from RM2.60 per RM1 spent in January to RM8.40 in March — a 220% increase driven entirely by data-informed reallocation, not additional budget spend.</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Channel Performance Audit — February 2026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Channel</w:t>
            </w:r>
          </w:p>
        </w:tc>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Monthly Spend</w:t>
            </w:r>
          </w:p>
        </w:tc>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Leads Generated</w:t>
            </w:r>
          </w:p>
        </w:tc>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Cost Per Lead</w:t>
            </w:r>
          </w:p>
        </w:tc>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Conversion Tracked?</w:t>
            </w:r>
          </w:p>
        </w:tc>
        <w:tc>
          <w:tcPr>
            <w:tcBorders>
              <w:top w:val="single" w:color="05192A" w:sz="4"/>
              <w:left w:val="single" w:color="05192A" w:sz="4"/>
              <w:bottom w:val="single" w:color="05192A" w:sz="4"/>
              <w:right w:val="single" w:color="05192A" w:sz="4"/>
            </w:tcBorders>
            <w:shd w:fill="0A2540" w:color="auto" w:val="clear"/>
            <w:tcMar>
              <w:top w:type="dxa" w:w="115"/>
              <w:left w:type="dxa" w:w="172"/>
              <w:bottom w:type="dxa" w:w="115"/>
              <w:right w:type="dxa" w:w="172"/>
            </w:tcMar>
          </w:tcPr>
          <w:p>
            <w:r>
              <w:rPr>
                <w:rFonts w:ascii="Calibri" w:cs="Calibri" w:eastAsia="Calibri" w:hAnsi="Calibri"/>
                <w:b/>
                <w:bCs/>
                <w:color w:val="FFFFFF"/>
                <w:sz w:val="20"/>
                <w:szCs w:val="20"/>
              </w:rPr>
              <w:t xml:space="preserve">Status</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Google Ads</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RM3,200</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73</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RM44</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 Yes</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Performing</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Facebook Ads</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RM3,500</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19</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RM184</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 Yes</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Underperforming</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LinkedIn Ads</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RM1,800</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0 tracked</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N/A</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 Tag broken</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Not measured</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SEO / Organic</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RM800</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38</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RM21</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 GA4</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Best ROI</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Social (organic)</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RM1,700</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4</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RM425</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Partial</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0"/>
                <w:szCs w:val="20"/>
              </w:rPr>
              <w:t xml:space="preserve">Low priority</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Channel Status Before vs. After Dashboard</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Before vs. After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Data visibility: 5 separate tools</w:t>
            </w:r>
          </w:p>
          <w:p>
            <w:pPr>
              <w:spacing w:after="60"/>
            </w:pPr>
            <w:r>
              <w:rPr>
                <w:rFonts w:ascii="Calibri" w:cs="Calibri" w:eastAsia="Calibri" w:hAnsi="Calibri"/>
                <w:color w:val="333333"/>
                <w:sz w:val="21"/>
                <w:szCs w:val="21"/>
              </w:rPr>
              <w:t xml:space="preserve">Monthly report build time: 3 days manual</w:t>
            </w:r>
          </w:p>
          <w:p>
            <w:pPr>
              <w:spacing w:after="60"/>
            </w:pPr>
            <w:r>
              <w:rPr>
                <w:rFonts w:ascii="Calibri" w:cs="Calibri" w:eastAsia="Calibri" w:hAnsi="Calibri"/>
                <w:color w:val="333333"/>
                <w:sz w:val="21"/>
                <w:szCs w:val="21"/>
              </w:rPr>
              <w:t xml:space="preserve">GA4 conversion tracking: Not configured</w:t>
            </w:r>
          </w:p>
          <w:p>
            <w:pPr>
              <w:spacing w:after="60"/>
            </w:pPr>
            <w:r>
              <w:rPr>
                <w:rFonts w:ascii="Calibri" w:cs="Calibri" w:eastAsia="Calibri" w:hAnsi="Calibri"/>
                <w:color w:val="333333"/>
                <w:sz w:val="21"/>
                <w:szCs w:val="21"/>
              </w:rPr>
              <w:t xml:space="preserve">Budget decision basis: Gut feel</w:t>
            </w:r>
          </w:p>
          <w:p>
            <w:pPr>
              <w:spacing w:after="60"/>
            </w:pPr>
            <w:r>
              <w:rPr>
                <w:rFonts w:ascii="Calibri" w:cs="Calibri" w:eastAsia="Calibri" w:hAnsi="Calibri"/>
                <w:color w:val="333333"/>
                <w:sz w:val="21"/>
                <w:szCs w:val="21"/>
              </w:rPr>
              <w:t xml:space="preserve">Marketing ROI visibility: 0%</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Data visibility: 1 unified dashboard</w:t>
            </w:r>
          </w:p>
          <w:p>
            <w:pPr>
              <w:spacing w:after="60"/>
            </w:pPr>
            <w:r>
              <w:rPr>
                <w:rFonts w:ascii="Calibri" w:cs="Calibri" w:eastAsia="Calibri" w:hAnsi="Calibri"/>
                <w:color w:val="333333"/>
                <w:sz w:val="21"/>
                <w:szCs w:val="21"/>
              </w:rPr>
              <w:t xml:space="preserve">Monthly report build time: 2 hours auto-update</w:t>
            </w:r>
          </w:p>
          <w:p>
            <w:pPr>
              <w:spacing w:after="60"/>
            </w:pPr>
            <w:r>
              <w:rPr>
                <w:rFonts w:ascii="Calibri" w:cs="Calibri" w:eastAsia="Calibri" w:hAnsi="Calibri"/>
                <w:color w:val="333333"/>
                <w:sz w:val="21"/>
                <w:szCs w:val="21"/>
              </w:rPr>
              <w:t xml:space="preserve">GA4 conversion tracking: 6 events active</w:t>
            </w:r>
          </w:p>
          <w:p>
            <w:pPr>
              <w:spacing w:after="60"/>
            </w:pPr>
            <w:r>
              <w:rPr>
                <w:rFonts w:ascii="Calibri" w:cs="Calibri" w:eastAsia="Calibri" w:hAnsi="Calibri"/>
                <w:color w:val="333333"/>
                <w:sz w:val="21"/>
                <w:szCs w:val="21"/>
              </w:rPr>
              <w:t xml:space="preserve">Budget decision basis: CPL data per channel</w:t>
            </w:r>
          </w:p>
          <w:p>
            <w:pPr>
              <w:spacing w:after="60"/>
            </w:pPr>
            <w:r>
              <w:rPr>
                <w:rFonts w:ascii="Calibri" w:cs="Calibri" w:eastAsia="Calibri" w:hAnsi="Calibri"/>
                <w:color w:val="333333"/>
                <w:sz w:val="21"/>
                <w:szCs w:val="21"/>
              </w:rPr>
              <w:t xml:space="preserve">Marketing ROI visibility: 100% attributed</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What We Delivered</w:t>
      </w:r>
    </w:p>
    <w:p>
      <w:pPr>
        <w:pStyle w:val="ListParagraph"/>
        <w:numPr>
          <w:ilvl w:val="0"/>
          <w:numId w:val="1"/>
        </w:numPr>
        <w:spacing w:after="80"/>
      </w:pPr>
      <w:r>
        <w:rPr>
          <w:rFonts w:ascii="Calibri" w:cs="Calibri" w:eastAsia="Calibri" w:hAnsi="Calibri"/>
          <w:color w:val="1D4ED8"/>
          <w:sz w:val="22"/>
          <w:szCs w:val="22"/>
        </w:rPr>
        <w:t xml:space="preserve">GA4 audit + 6 conversion events configured correctly</w:t>
      </w:r>
    </w:p>
    <w:p>
      <w:pPr>
        <w:pStyle w:val="ListParagraph"/>
        <w:numPr>
          <w:ilvl w:val="0"/>
          <w:numId w:val="1"/>
        </w:numPr>
        <w:spacing w:after="80"/>
      </w:pPr>
      <w:r>
        <w:rPr>
          <w:rFonts w:ascii="Calibri" w:cs="Calibri" w:eastAsia="Calibri" w:hAnsi="Calibri"/>
          <w:color w:val="1D4ED8"/>
          <w:sz w:val="22"/>
          <w:szCs w:val="22"/>
        </w:rPr>
        <w:t xml:space="preserve">UTM parameter setup for all active ad campaigns</w:t>
      </w:r>
    </w:p>
    <w:p>
      <w:pPr>
        <w:pStyle w:val="ListParagraph"/>
        <w:numPr>
          <w:ilvl w:val="0"/>
          <w:numId w:val="1"/>
        </w:numPr>
        <w:spacing w:after="80"/>
      </w:pPr>
      <w:r>
        <w:rPr>
          <w:rFonts w:ascii="Calibri" w:cs="Calibri" w:eastAsia="Calibri" w:hAnsi="Calibri"/>
          <w:color w:val="1D4ED8"/>
          <w:sz w:val="22"/>
          <w:szCs w:val="22"/>
        </w:rPr>
        <w:t xml:space="preserve">Unified Google Sheets marketing dashboard (monthly auto-update)</w:t>
      </w:r>
    </w:p>
    <w:p>
      <w:pPr>
        <w:pStyle w:val="ListParagraph"/>
        <w:numPr>
          <w:ilvl w:val="0"/>
          <w:numId w:val="1"/>
        </w:numPr>
        <w:spacing w:after="80"/>
      </w:pPr>
      <w:r>
        <w:rPr>
          <w:rFonts w:ascii="Calibri" w:cs="Calibri" w:eastAsia="Calibri" w:hAnsi="Calibri"/>
          <w:color w:val="1D4ED8"/>
          <w:sz w:val="22"/>
          <w:szCs w:val="22"/>
        </w:rPr>
        <w:t xml:space="preserve">LinkedIn Insight Tag fix + verification</w:t>
      </w:r>
    </w:p>
    <w:p>
      <w:pPr>
        <w:pStyle w:val="ListParagraph"/>
        <w:numPr>
          <w:ilvl w:val="0"/>
          <w:numId w:val="1"/>
        </w:numPr>
        <w:spacing w:after="80"/>
      </w:pPr>
      <w:r>
        <w:rPr>
          <w:rFonts w:ascii="Calibri" w:cs="Calibri" w:eastAsia="Calibri" w:hAnsi="Calibri"/>
          <w:color w:val="1D4ED8"/>
          <w:sz w:val="22"/>
          <w:szCs w:val="22"/>
        </w:rPr>
        <w:t xml:space="preserve">3 monthly analytics reports with channel breakdown + recommendations</w:t>
      </w:r>
    </w:p>
    <w:p>
      <w:pPr>
        <w:pStyle w:val="ListParagraph"/>
        <w:numPr>
          <w:ilvl w:val="0"/>
          <w:numId w:val="1"/>
        </w:numPr>
        <w:spacing w:after="80"/>
      </w:pPr>
      <w:r>
        <w:rPr>
          <w:rFonts w:ascii="Calibri" w:cs="Calibri" w:eastAsia="Calibri" w:hAnsi="Calibri"/>
          <w:color w:val="1D4ED8"/>
          <w:sz w:val="22"/>
          <w:szCs w:val="22"/>
        </w:rPr>
        <w:t xml:space="preserve">Budget reallocation recommendation (Month 2) — implemented Month 3</w:t>
      </w:r>
    </w:p>
    <w:p>
      <w:pPr>
        <w:pStyle w:val="ListParagraph"/>
        <w:numPr>
          <w:ilvl w:val="0"/>
          <w:numId w:val="1"/>
        </w:numPr>
        <w:spacing w:after="80"/>
      </w:pPr>
      <w:r>
        <w:rPr>
          <w:rFonts w:ascii="Calibri" w:cs="Calibri" w:eastAsia="Calibri" w:hAnsi="Calibri"/>
          <w:color w:val="1D4ED8"/>
          <w:sz w:val="22"/>
          <w:szCs w:val="22"/>
        </w:rPr>
        <w:t xml:space="preserve">CPL tracking table by channel — updated monthly</w:t>
      </w:r>
    </w:p>
    <w:p>
      <w:pPr>
        <w:pStyle w:val="ListParagraph"/>
        <w:numPr>
          <w:ilvl w:val="0"/>
          <w:numId w:val="1"/>
        </w:numPr>
        <w:spacing w:after="80"/>
      </w:pPr>
      <w:r>
        <w:rPr>
          <w:rFonts w:ascii="Calibri" w:cs="Calibri" w:eastAsia="Calibri" w:hAnsi="Calibri"/>
          <w:color w:val="1D4ED8"/>
          <w:sz w:val="22"/>
          <w:szCs w:val="22"/>
        </w:rPr>
        <w:t xml:space="preserve">Marketing ROI summary: revenue attributed per RM1 spent</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Client Testimonial</w:t>
      </w:r>
    </w:p>
    <w:p>
      <w:pPr>
        <w:pBdr>
          <w:left w:val="thick" w:color="00B4D8" w:sz="16"/>
        </w:pBdr>
        <w:shd w:fill="F0F9FF" w:color="auto" w:val="clear"/>
        <w:spacing w:after="80" w:before="140"/>
        <w:ind w:left="431"/>
      </w:pPr>
      <w:r>
        <w:rPr>
          <w:rFonts w:ascii="Calibri" w:cs="Calibri" w:eastAsia="Calibri" w:hAnsi="Calibri"/>
          <w:i/>
          <w:iCs/>
          <w:color w:val="1E293B"/>
          <w:sz w:val="22"/>
          <w:szCs w:val="22"/>
        </w:rPr>
        <w:t xml:space="preserve">For the first time in 4 years, I can tell the CEO exactly which channel is generating leads and what each one costs. We moved budget from Facebook to Google based on the February report and our cost per lead dropped by 30% the next month. The dashboard alone is worth more than what we're paying — and it took NextMarketing one month to build what we couldn't do ourselves in years.</w:t>
      </w:r>
    </w:p>
    <w:p>
      <w:pPr>
        <w:spacing w:after="160"/>
        <w:ind w:left="431"/>
      </w:pPr>
      <w:r>
        <w:rPr>
          <w:rFonts w:ascii="Calibri" w:cs="Calibri" w:eastAsia="Calibri" w:hAnsi="Calibri"/>
          <w:b/>
          <w:bCs/>
          <w:color w:val="0A2540"/>
          <w:sz w:val="21"/>
          <w:szCs w:val="21"/>
        </w:rPr>
        <w:t xml:space="preserve">Nurul Aina binti Azlan</w:t>
      </w:r>
      <w:r>
        <w:rPr>
          <w:rFonts w:ascii="Calibri" w:cs="Calibri" w:eastAsia="Calibri" w:hAnsi="Calibri"/>
          <w:color w:val="555555"/>
          <w:sz w:val="20"/>
          <w:szCs w:val="20"/>
        </w:rPr>
        <w:t xml:space="preserve">  ·  Marketing Manager · FastRoute Logistics Sdn Bhd · Shah Alam</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2026-05-01T04:26:17.968Z</dcterms:created>
  <dcterms:modified xsi:type="dcterms:W3CDTF">2026-05-01T04:26:17.968Z</dcterms:modified>
</cp:coreProperties>
</file>

<file path=docProps/custom.xml><?xml version="1.0" encoding="utf-8"?>
<Properties xmlns="http://schemas.openxmlformats.org/officeDocument/2006/custom-properties" xmlns:vt="http://schemas.openxmlformats.org/officeDocument/2006/docPropsVTypes"/>
</file>