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GOS — Dashboard &amp; Communication Technical Handoff</w:t>
      </w:r>
    </w:p>
    <w:p>
      <w:pPr>
        <w:jc w:val="center"/>
      </w:pPr>
      <w:r>
        <w:rPr>
          <w:b/>
        </w:rPr>
        <w:t>Frontend + Communication / Integrations Developer Specification</w:t>
      </w:r>
    </w:p>
    <w:p>
      <w:pPr>
        <w:jc w:val="center"/>
      </w:pPr>
      <w:r>
        <w:rPr>
          <w:i/>
        </w:rPr>
        <w:t>Version 1.0 | User Dashboard + Admin Dashboard + Super Admin + Communication/Usage</w:t>
      </w:r>
    </w:p>
    <w:p>
      <w:pPr>
        <w:pStyle w:val="Heading1"/>
      </w:pPr>
      <w:r>
        <w:t>1. Purpose</w:t>
      </w:r>
    </w:p>
    <w:p>
      <w:r>
        <w:rPr>
          <w:b w:val="0"/>
        </w:rPr>
        <w:t>This document is the technical handoff for the developer responsible for Frontend and Communication/Integrations. The goal is to make the three account levels and the communication architecture unambiguous before implementation.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556"/>
          </w:tcPr>
          <w:p>
            <w:r>
              <w:rPr>
                <w:b/>
              </w:rPr>
              <w:t>Who</w:t>
            </w:r>
          </w:p>
        </w:tc>
        <w:tc>
          <w:tcPr>
            <w:tcW w:type="dxa" w:w="2556"/>
          </w:tcPr>
          <w:p>
            <w:r>
              <w:rPr>
                <w:b/>
              </w:rPr>
              <w:t>Main responsibility</w:t>
            </w:r>
          </w:p>
        </w:tc>
        <w:tc>
          <w:tcPr>
            <w:tcW w:type="dxa" w:w="2556"/>
          </w:tcPr>
          <w:p>
            <w:r>
              <w:rPr>
                <w:b/>
              </w:rPr>
              <w:t>Visibility</w:t>
            </w:r>
          </w:p>
        </w:tc>
      </w:tr>
      <w:tr>
        <w:tc>
          <w:tcPr>
            <w:tcW w:type="dxa" w:w="2556"/>
            <w:vAlign w:val="top"/>
          </w:tcPr>
          <w:p>
            <w:r>
              <w:t>User Dashboard</w:t>
            </w:r>
          </w:p>
        </w:tc>
        <w:tc>
          <w:tcPr>
            <w:tcW w:type="dxa" w:w="2556"/>
            <w:vAlign w:val="top"/>
          </w:tcPr>
          <w:p>
            <w:r>
              <w:t>Final end customer/business</w:t>
            </w:r>
          </w:p>
        </w:tc>
        <w:tc>
          <w:tcPr>
            <w:tcW w:type="dxa" w:w="2556"/>
            <w:vAlign w:val="top"/>
          </w:tcPr>
          <w:p>
            <w:r>
              <w:t>Run business: AI, funnel/site, CRM, inbox, follow-up, booking/products, analytics</w:t>
            </w:r>
          </w:p>
        </w:tc>
        <w:tc>
          <w:tcPr>
            <w:tcW w:type="dxa" w:w="2556"/>
            <w:vAlign w:val="top"/>
          </w:tcPr>
          <w:p>
            <w:r>
              <w:t>Own business only</w:t>
            </w:r>
          </w:p>
        </w:tc>
      </w:tr>
      <w:tr>
        <w:tc>
          <w:tcPr>
            <w:tcW w:type="dxa" w:w="2556"/>
            <w:vAlign w:val="top"/>
          </w:tcPr>
          <w:p>
            <w:r>
              <w:t>Admin Dashboard</w:t>
            </w:r>
          </w:p>
        </w:tc>
        <w:tc>
          <w:tcPr>
            <w:tcW w:type="dxa" w:w="2556"/>
            <w:vAlign w:val="top"/>
          </w:tcPr>
          <w:p>
            <w:r>
              <w:t>Student/partner</w:t>
            </w:r>
          </w:p>
        </w:tc>
        <w:tc>
          <w:tcPr>
            <w:tcW w:type="dxa" w:w="2556"/>
            <w:vAlign w:val="top"/>
          </w:tcPr>
          <w:p>
            <w:r>
              <w:t>Manage own white-labeled tenant and its end customers</w:t>
            </w:r>
          </w:p>
        </w:tc>
        <w:tc>
          <w:tcPr>
            <w:tcW w:type="dxa" w:w="2556"/>
            <w:vAlign w:val="top"/>
          </w:tcPr>
          <w:p>
            <w:r>
              <w:t>Own tenant + its clients</w:t>
            </w:r>
          </w:p>
        </w:tc>
      </w:tr>
      <w:tr>
        <w:tc>
          <w:tcPr>
            <w:tcW w:type="dxa" w:w="2556"/>
            <w:vAlign w:val="top"/>
          </w:tcPr>
          <w:p>
            <w:r>
              <w:t>Super Admin</w:t>
            </w:r>
          </w:p>
        </w:tc>
        <w:tc>
          <w:tcPr>
            <w:tcW w:type="dxa" w:w="2556"/>
            <w:vAlign w:val="top"/>
          </w:tcPr>
          <w:p>
            <w:r>
              <w:t>Mohamed Joe/platform owner</w:t>
            </w:r>
          </w:p>
        </w:tc>
        <w:tc>
          <w:tcPr>
            <w:tcW w:type="dxa" w:w="2556"/>
            <w:vAlign w:val="top"/>
          </w:tcPr>
          <w:p>
            <w:r>
              <w:t>Master control, tenants, integrations, usage, diagnostics, permissions</w:t>
            </w:r>
          </w:p>
        </w:tc>
        <w:tc>
          <w:tcPr>
            <w:tcW w:type="dxa" w:w="2556"/>
            <w:vAlign w:val="top"/>
          </w:tcPr>
          <w:p>
            <w:r>
              <w:t>Global platform according to permissions</w:t>
            </w:r>
          </w:p>
        </w:tc>
      </w:tr>
    </w:tbl>
    <w:p>
      <w:pPr>
        <w:pStyle w:val="Heading1"/>
      </w:pPr>
      <w:r>
        <w:t>2. Core Multi-Tenant Hierarchy</w:t>
      </w:r>
    </w:p>
    <w:p>
      <w:r>
        <w:rPr>
          <w:b w:val="0"/>
        </w:rPr>
        <w:t>Do not build this as one flat account structure. Every record must belong to a tenant/business context.</w:t>
      </w:r>
    </w:p>
    <w:p>
      <w:pPr>
        <w:pStyle w:val="ListBullet"/>
      </w:pPr>
      <w:r>
        <w:t>Super Admin owns the platform.</w:t>
      </w:r>
    </w:p>
    <w:p>
      <w:pPr>
        <w:pStyle w:val="ListBullet"/>
      </w:pPr>
      <w:r>
        <w:t>Each student is an Admin/Partner tenant.</w:t>
      </w:r>
    </w:p>
    <w:p>
      <w:pPr>
        <w:pStyle w:val="ListBullet"/>
      </w:pPr>
      <w:r>
        <w:t>Each Admin can have multiple end-customer businesses.</w:t>
      </w:r>
    </w:p>
    <w:p>
      <w:pPr>
        <w:pStyle w:val="ListBullet"/>
      </w:pPr>
      <w:r>
        <w:t>Each User Dashboard belongs to one end-customer business.</w:t>
      </w:r>
    </w:p>
    <w:p>
      <w:pPr>
        <w:pStyle w:val="ListBullet"/>
      </w:pPr>
      <w:r>
        <w:t>Communication connections and usage must be tied to the exact business and tenant.</w:t>
      </w:r>
    </w:p>
    <w:p>
      <w:r>
        <w:rPr>
          <w:b w:val="0"/>
        </w:rPr>
        <w:t>SUPER ADMIN → ADMIN/STUDENT TENANT → END-CUSTOMER BUSINESS → TEAM USERS → LEADS/CONTACTS → CONVERSATIONS/BOOKINGS/PRODUCTS/USAGE</w:t>
      </w:r>
    </w:p>
    <w:p>
      <w:pPr>
        <w:pStyle w:val="Heading1"/>
      </w:pPr>
      <w:r>
        <w:t>3. USER DASHBOARD — Final End Customer</w:t>
      </w:r>
    </w:p>
    <w:p>
      <w:r>
        <w:rPr>
          <w:b w:val="0"/>
        </w:rPr>
        <w:t>This is the clean business dashboard. The end customer must not see tenant management, provider architecture or Super Admin controls.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5112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5112"/>
            <w:vAlign w:val="top"/>
          </w:tcPr>
          <w:p>
            <w:r>
              <w:t>AI Copilot</w:t>
            </w:r>
          </w:p>
        </w:tc>
        <w:tc>
          <w:tcPr>
            <w:tcW w:type="dxa" w:w="5112"/>
            <w:vAlign w:val="top"/>
          </w:tcPr>
          <w:p>
            <w:r>
              <w:t>ChatGPT-like business-aware assistant that can answer and execute permitted actions.</w:t>
            </w:r>
          </w:p>
        </w:tc>
      </w:tr>
      <w:tr>
        <w:tc>
          <w:tcPr>
            <w:tcW w:type="dxa" w:w="5112"/>
            <w:vAlign w:val="top"/>
          </w:tcPr>
          <w:p>
            <w:r>
              <w:t>Funnel &amp; Website</w:t>
            </w:r>
          </w:p>
        </w:tc>
        <w:tc>
          <w:tcPr>
            <w:tcW w:type="dxa" w:w="5112"/>
            <w:vAlign w:val="top"/>
          </w:tcPr>
          <w:p>
            <w:r>
              <w:t>Landing pages, website, funnel, domains and payments.</w:t>
            </w:r>
          </w:p>
        </w:tc>
      </w:tr>
      <w:tr>
        <w:tc>
          <w:tcPr>
            <w:tcW w:type="dxa" w:w="5112"/>
            <w:vAlign w:val="top"/>
          </w:tcPr>
          <w:p>
            <w:r>
              <w:t>CRM &amp; Leads</w:t>
            </w:r>
          </w:p>
        </w:tc>
        <w:tc>
          <w:tcPr>
            <w:tcW w:type="dxa" w:w="5112"/>
            <w:vAlign w:val="top"/>
          </w:tcPr>
          <w:p>
            <w:r>
              <w:t>Leads, contacts, pipeline, profiles, tags, notes, sources and history.</w:t>
            </w:r>
          </w:p>
        </w:tc>
      </w:tr>
      <w:tr>
        <w:tc>
          <w:tcPr>
            <w:tcW w:type="dxa" w:w="5112"/>
            <w:vAlign w:val="top"/>
          </w:tcPr>
          <w:p>
            <w:r>
              <w:t>Inbox</w:t>
            </w:r>
          </w:p>
        </w:tc>
        <w:tc>
          <w:tcPr>
            <w:tcW w:type="dxa" w:w="5112"/>
            <w:vAlign w:val="top"/>
          </w:tcPr>
          <w:p>
            <w:r>
              <w:t>Unified conversations across connected channels such as WhatsApp, Instagram, Facebook/Messenger, email and website chat.</w:t>
            </w:r>
          </w:p>
        </w:tc>
      </w:tr>
      <w:tr>
        <w:tc>
          <w:tcPr>
            <w:tcW w:type="dxa" w:w="5112"/>
            <w:vAlign w:val="top"/>
          </w:tcPr>
          <w:p>
            <w:r>
              <w:t>AI Follow-Up</w:t>
            </w:r>
          </w:p>
        </w:tc>
        <w:tc>
          <w:tcPr>
            <w:tcW w:type="dxa" w:w="5112"/>
            <w:vAlign w:val="top"/>
          </w:tcPr>
          <w:p>
            <w:r>
              <w:t>AI training, qualification, follow-up, sales conversations and deployment.</w:t>
            </w:r>
          </w:p>
        </w:tc>
      </w:tr>
      <w:tr>
        <w:tc>
          <w:tcPr>
            <w:tcW w:type="dxa" w:w="5112"/>
            <w:vAlign w:val="top"/>
          </w:tcPr>
          <w:p>
            <w:r>
              <w:t>Booking &amp; Products</w:t>
            </w:r>
          </w:p>
        </w:tc>
        <w:tc>
          <w:tcPr>
            <w:tcW w:type="dxa" w:w="5112"/>
            <w:vAlign w:val="top"/>
          </w:tcPr>
          <w:p>
            <w:r>
              <w:t>Calendar/booking plus services, courses, digital products/membership.</w:t>
            </w:r>
          </w:p>
        </w:tc>
      </w:tr>
      <w:tr>
        <w:tc>
          <w:tcPr>
            <w:tcW w:type="dxa" w:w="5112"/>
            <w:vAlign w:val="top"/>
          </w:tcPr>
          <w:p>
            <w:r>
              <w:t>Analytics</w:t>
            </w:r>
          </w:p>
        </w:tc>
        <w:tc>
          <w:tcPr>
            <w:tcW w:type="dxa" w:w="5112"/>
            <w:vAlign w:val="top"/>
          </w:tcPr>
          <w:p>
            <w:r>
              <w:t>Business metrics and AI/business insights; not an ad-analytics dashboard.</w:t>
            </w:r>
          </w:p>
        </w:tc>
      </w:tr>
    </w:tbl>
    <w:p>
      <w:r>
        <w:rPr>
          <w:b w:val="0"/>
        </w:rPr>
        <w:t>Settings is an internal area, not a cluttered main-navigation module.</w:t>
      </w:r>
    </w:p>
    <w:p>
      <w:pPr>
        <w:pStyle w:val="ListBullet"/>
      </w:pPr>
      <w:r>
        <w:t>Profile</w:t>
      </w:r>
    </w:p>
    <w:p>
      <w:pPr>
        <w:pStyle w:val="ListBullet"/>
      </w:pPr>
      <w:r>
        <w:t>Business Settings</w:t>
      </w:r>
    </w:p>
    <w:p>
      <w:pPr>
        <w:pStyle w:val="ListBullet"/>
      </w:pPr>
      <w:r>
        <w:t>Team</w:t>
      </w:r>
    </w:p>
    <w:p>
      <w:pPr>
        <w:pStyle w:val="ListBullet"/>
      </w:pPr>
      <w:r>
        <w:t>Integrations</w:t>
      </w:r>
    </w:p>
    <w:p>
      <w:pPr>
        <w:pStyle w:val="ListBullet"/>
      </w:pPr>
      <w:r>
        <w:t>Payments</w:t>
      </w:r>
    </w:p>
    <w:p>
      <w:pPr>
        <w:pStyle w:val="ListBullet"/>
      </w:pPr>
      <w:r>
        <w:t>AI Provider/API connection</w:t>
      </w:r>
    </w:p>
    <w:p>
      <w:pPr>
        <w:pStyle w:val="ListBullet"/>
      </w:pPr>
      <w:r>
        <w:t>Security/session settings</w:t>
      </w:r>
    </w:p>
    <w:p>
      <w:pPr>
        <w:pStyle w:val="Heading1"/>
      </w:pPr>
      <w:r>
        <w:t>4. User Permissions</w:t>
      </w:r>
    </w:p>
    <w:p>
      <w:pPr>
        <w:pStyle w:val="ListBullet"/>
      </w:pPr>
      <w:r>
        <w:t>Read/write only their own business data.</w:t>
      </w:r>
    </w:p>
    <w:p>
      <w:pPr>
        <w:pStyle w:val="ListBullet"/>
      </w:pPr>
      <w:r>
        <w:t>Manage their own team according to role permissions.</w:t>
      </w:r>
    </w:p>
    <w:p>
      <w:pPr>
        <w:pStyle w:val="ListBullet"/>
      </w:pPr>
      <w:r>
        <w:t>Connect/disconnect their own supported integrations.</w:t>
      </w:r>
    </w:p>
    <w:p>
      <w:pPr>
        <w:pStyle w:val="ListBullet"/>
      </w:pPr>
      <w:r>
        <w:t>Configure their own AI/business knowledge.</w:t>
      </w:r>
    </w:p>
    <w:p>
      <w:pPr>
        <w:pStyle w:val="ListBullet"/>
      </w:pPr>
      <w:r>
        <w:t>View communication usage relevant to their business.</w:t>
      </w:r>
    </w:p>
    <w:p>
      <w:pPr>
        <w:pStyle w:val="ListBullet"/>
      </w:pPr>
      <w:r>
        <w:t>No access to other businesses, Admin tenant management or Super Admin controls.</w:t>
      </w:r>
    </w:p>
    <w:p>
      <w:pPr>
        <w:pStyle w:val="Heading1"/>
      </w:pPr>
      <w:r>
        <w:t>5. ADMIN DASHBOARD — Student / Partner</w:t>
      </w:r>
    </w:p>
    <w:p>
      <w:r>
        <w:rPr>
          <w:b w:val="0"/>
        </w:rPr>
        <w:t>The Admin Dashboard is NOT the final end-customer dashboard. It is the control center for the student who sells their own branded solution to multiple end customers.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Area</w:t>
            </w:r>
          </w:p>
        </w:tc>
        <w:tc>
          <w:tcPr>
            <w:tcW w:type="dxa" w:w="5112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112"/>
            <w:vAlign w:val="top"/>
          </w:tcPr>
          <w:p>
            <w:r>
              <w:t>Overview</w:t>
            </w:r>
          </w:p>
        </w:tc>
        <w:tc>
          <w:tcPr>
            <w:tcW w:type="dxa" w:w="5112"/>
            <w:vAlign w:val="top"/>
          </w:tcPr>
          <w:p>
            <w:r>
              <w:t>Tenant-level businesses, active users, usage, onboarding and activity.</w:t>
            </w:r>
          </w:p>
        </w:tc>
      </w:tr>
      <w:tr>
        <w:tc>
          <w:tcPr>
            <w:tcW w:type="dxa" w:w="5112"/>
            <w:vAlign w:val="top"/>
          </w:tcPr>
          <w:p>
            <w:r>
              <w:t>My Businesses / Clients</w:t>
            </w:r>
          </w:p>
        </w:tc>
        <w:tc>
          <w:tcPr>
            <w:tcW w:type="dxa" w:w="5112"/>
            <w:vAlign w:val="top"/>
          </w:tcPr>
          <w:p>
            <w:r>
              <w:t>Create, search and manage end-customer businesses.</w:t>
            </w:r>
          </w:p>
        </w:tc>
      </w:tr>
      <w:tr>
        <w:tc>
          <w:tcPr>
            <w:tcW w:type="dxa" w:w="5112"/>
            <w:vAlign w:val="top"/>
          </w:tcPr>
          <w:p>
            <w:r>
              <w:t>Client Onboarding</w:t>
            </w:r>
          </w:p>
        </w:tc>
        <w:tc>
          <w:tcPr>
            <w:tcW w:type="dxa" w:w="5112"/>
            <w:vAlign w:val="top"/>
          </w:tcPr>
          <w:p>
            <w:r>
              <w:t>Business info, branding, niche configuration, integrations and launch readiness.</w:t>
            </w:r>
          </w:p>
        </w:tc>
      </w:tr>
      <w:tr>
        <w:tc>
          <w:tcPr>
            <w:tcW w:type="dxa" w:w="5112"/>
            <w:vAlign w:val="top"/>
          </w:tcPr>
          <w:p>
            <w:r>
              <w:t>Branding / White Label</w:t>
            </w:r>
          </w:p>
        </w:tc>
        <w:tc>
          <w:tcPr>
            <w:tcW w:type="dxa" w:w="5112"/>
            <w:vAlign w:val="top"/>
          </w:tcPr>
          <w:p>
            <w:r>
              <w:t>Student brand identity and tenant configuration.</w:t>
            </w:r>
          </w:p>
        </w:tc>
      </w:tr>
      <w:tr>
        <w:tc>
          <w:tcPr>
            <w:tcW w:type="dxa" w:w="5112"/>
            <w:vAlign w:val="top"/>
          </w:tcPr>
          <w:p>
            <w:r>
              <w:t>Communication / Channels</w:t>
            </w:r>
          </w:p>
        </w:tc>
        <w:tc>
          <w:tcPr>
            <w:tcW w:type="dxa" w:w="5112"/>
            <w:vAlign w:val="top"/>
          </w:tcPr>
          <w:p>
            <w:r>
              <w:t>Connection status and communication management per client.</w:t>
            </w:r>
          </w:p>
        </w:tc>
      </w:tr>
      <w:tr>
        <w:tc>
          <w:tcPr>
            <w:tcW w:type="dxa" w:w="5112"/>
            <w:vAlign w:val="top"/>
          </w:tcPr>
          <w:p>
            <w:r>
              <w:t>Usage &amp; Credits</w:t>
            </w:r>
          </w:p>
        </w:tc>
        <w:tc>
          <w:tcPr>
            <w:tcW w:type="dxa" w:w="5112"/>
            <w:vAlign w:val="top"/>
          </w:tcPr>
          <w:p>
            <w:r>
              <w:t>Communication usage/credits by client, channel and period.</w:t>
            </w:r>
          </w:p>
        </w:tc>
      </w:tr>
      <w:tr>
        <w:tc>
          <w:tcPr>
            <w:tcW w:type="dxa" w:w="5112"/>
            <w:vAlign w:val="top"/>
          </w:tcPr>
          <w:p>
            <w:r>
              <w:t>Products / Offers</w:t>
            </w:r>
          </w:p>
        </w:tc>
        <w:tc>
          <w:tcPr>
            <w:tcW w:type="dxa" w:w="5112"/>
            <w:vAlign w:val="top"/>
          </w:tcPr>
          <w:p>
            <w:r>
              <w:t>Reusable product/solution configuration where applicable.</w:t>
            </w:r>
          </w:p>
        </w:tc>
      </w:tr>
      <w:tr>
        <w:tc>
          <w:tcPr>
            <w:tcW w:type="dxa" w:w="5112"/>
            <w:vAlign w:val="top"/>
          </w:tcPr>
          <w:p>
            <w:r>
              <w:t>Templates / Assets</w:t>
            </w:r>
          </w:p>
        </w:tc>
        <w:tc>
          <w:tcPr>
            <w:tcW w:type="dxa" w:w="5112"/>
            <w:vAlign w:val="top"/>
          </w:tcPr>
          <w:p>
            <w:r>
              <w:t>Reusable templates and assets supplied to the student.</w:t>
            </w:r>
          </w:p>
        </w:tc>
      </w:tr>
      <w:tr>
        <w:tc>
          <w:tcPr>
            <w:tcW w:type="dxa" w:w="5112"/>
            <w:vAlign w:val="top"/>
          </w:tcPr>
          <w:p>
            <w:r>
              <w:t>Support / Activity</w:t>
            </w:r>
          </w:p>
        </w:tc>
        <w:tc>
          <w:tcPr>
            <w:tcW w:type="dxa" w:w="5112"/>
            <w:vAlign w:val="top"/>
          </w:tcPr>
          <w:p>
            <w:r>
              <w:t>Support requests and operational history.</w:t>
            </w:r>
          </w:p>
        </w:tc>
      </w:tr>
      <w:tr>
        <w:tc>
          <w:tcPr>
            <w:tcW w:type="dxa" w:w="5112"/>
            <w:vAlign w:val="top"/>
          </w:tcPr>
          <w:p>
            <w:r>
              <w:t>Settings</w:t>
            </w:r>
          </w:p>
        </w:tc>
        <w:tc>
          <w:tcPr>
            <w:tcW w:type="dxa" w:w="5112"/>
            <w:vAlign w:val="top"/>
          </w:tcPr>
          <w:p>
            <w:r>
              <w:t>Profile, tenant, team, integrations, billing and permissions.</w:t>
            </w:r>
          </w:p>
        </w:tc>
      </w:tr>
    </w:tbl>
    <w:p>
      <w:pPr>
        <w:pStyle w:val="Heading1"/>
      </w:pPr>
      <w:r>
        <w:t>6. Admin Client Context</w:t>
      </w:r>
    </w:p>
    <w:p>
      <w:pPr>
        <w:pStyle w:val="ListBullet"/>
      </w:pPr>
      <w:r>
        <w:t>Admin selects an end-customer business and enters an authorized management context.</w:t>
      </w:r>
    </w:p>
    <w:p>
      <w:pPr>
        <w:pStyle w:val="ListBullet"/>
      </w:pPr>
      <w:r>
        <w:t>Show the active business clearly at all times.</w:t>
      </w:r>
    </w:p>
    <w:p>
      <w:pPr>
        <w:pStyle w:val="ListBullet"/>
      </w:pPr>
      <w:r>
        <w:t>Use controlled tenant/business switching; never trust a browser-supplied tenant_id without backend authorization.</w:t>
      </w:r>
    </w:p>
    <w:p>
      <w:pPr>
        <w:pStyle w:val="ListBullet"/>
      </w:pPr>
      <w:r>
        <w:t>Audit sensitive Admin actions.</w:t>
      </w:r>
    </w:p>
    <w:p>
      <w:pPr>
        <w:pStyle w:val="ListBullet"/>
      </w:pPr>
      <w:r>
        <w:t>When switching business, clear/refetch all tenant-scoped data.</w:t>
      </w:r>
    </w:p>
    <w:p>
      <w:pPr>
        <w:pStyle w:val="Heading1"/>
      </w:pPr>
      <w:r>
        <w:t>7. SUPER ADMIN DASHBOARD — Master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Area</w:t>
            </w:r>
          </w:p>
        </w:tc>
        <w:tc>
          <w:tcPr>
            <w:tcW w:type="dxa" w:w="5112"/>
          </w:tcPr>
          <w:p>
            <w:r>
              <w:rPr>
                <w:b/>
              </w:rPr>
              <w:t>Required capability</w:t>
            </w:r>
          </w:p>
        </w:tc>
      </w:tr>
      <w:tr>
        <w:tc>
          <w:tcPr>
            <w:tcW w:type="dxa" w:w="5112"/>
            <w:vAlign w:val="top"/>
          </w:tcPr>
          <w:p>
            <w:r>
              <w:t>Platform Overview</w:t>
            </w:r>
          </w:p>
        </w:tc>
        <w:tc>
          <w:tcPr>
            <w:tcW w:type="dxa" w:w="5112"/>
            <w:vAlign w:val="top"/>
          </w:tcPr>
          <w:p>
            <w:r>
              <w:t>Global tenants, businesses, users, integrations, communication activity and health.</w:t>
            </w:r>
          </w:p>
        </w:tc>
      </w:tr>
      <w:tr>
        <w:tc>
          <w:tcPr>
            <w:tcW w:type="dxa" w:w="5112"/>
            <w:vAlign w:val="top"/>
          </w:tcPr>
          <w:p>
            <w:r>
              <w:t>Tenants / Students</w:t>
            </w:r>
          </w:p>
        </w:tc>
        <w:tc>
          <w:tcPr>
            <w:tcW w:type="dxa" w:w="5112"/>
            <w:vAlign w:val="top"/>
          </w:tcPr>
          <w:p>
            <w:r>
              <w:t>Create/search/activate/deactivate and manage Admin tenants.</w:t>
            </w:r>
          </w:p>
        </w:tc>
      </w:tr>
      <w:tr>
        <w:tc>
          <w:tcPr>
            <w:tcW w:type="dxa" w:w="5112"/>
            <w:vAlign w:val="top"/>
          </w:tcPr>
          <w:p>
            <w:r>
              <w:t>End Customers / Businesses</w:t>
            </w:r>
          </w:p>
        </w:tc>
        <w:tc>
          <w:tcPr>
            <w:tcW w:type="dxa" w:w="5112"/>
            <w:vAlign w:val="top"/>
          </w:tcPr>
          <w:p>
            <w:r>
              <w:t>Global search and controlled support access.</w:t>
            </w:r>
          </w:p>
        </w:tc>
      </w:tr>
      <w:tr>
        <w:tc>
          <w:tcPr>
            <w:tcW w:type="dxa" w:w="5112"/>
            <w:vAlign w:val="top"/>
          </w:tcPr>
          <w:p>
            <w:r>
              <w:t>Users &amp; Roles</w:t>
            </w:r>
          </w:p>
        </w:tc>
        <w:tc>
          <w:tcPr>
            <w:tcW w:type="dxa" w:w="5112"/>
            <w:vAlign w:val="top"/>
          </w:tcPr>
          <w:p>
            <w:r>
              <w:t>Global user and permission administration.</w:t>
            </w:r>
          </w:p>
        </w:tc>
      </w:tr>
      <w:tr>
        <w:tc>
          <w:tcPr>
            <w:tcW w:type="dxa" w:w="5112"/>
            <w:vAlign w:val="top"/>
          </w:tcPr>
          <w:p>
            <w:r>
              <w:t>Communication Providers</w:t>
            </w:r>
          </w:p>
        </w:tc>
        <w:tc>
          <w:tcPr>
            <w:tcW w:type="dxa" w:w="5112"/>
            <w:vAlign w:val="top"/>
          </w:tcPr>
          <w:p>
            <w:r>
              <w:t>Provider status, connections, webhooks, errors and routing.</w:t>
            </w:r>
          </w:p>
        </w:tc>
      </w:tr>
      <w:tr>
        <w:tc>
          <w:tcPr>
            <w:tcW w:type="dxa" w:w="5112"/>
            <w:vAlign w:val="top"/>
          </w:tcPr>
          <w:p>
            <w:r>
              <w:t>Usage &amp; Credits</w:t>
            </w:r>
          </w:p>
        </w:tc>
        <w:tc>
          <w:tcPr>
            <w:tcW w:type="dxa" w:w="5112"/>
            <w:vAlign w:val="top"/>
          </w:tcPr>
          <w:p>
            <w:r>
              <w:t>Global usage, provider costs, customer charges, balances and anomalies.</w:t>
            </w:r>
          </w:p>
        </w:tc>
      </w:tr>
      <w:tr>
        <w:tc>
          <w:tcPr>
            <w:tcW w:type="dxa" w:w="5112"/>
            <w:vAlign w:val="top"/>
          </w:tcPr>
          <w:p>
            <w:r>
              <w:t>Integrations</w:t>
            </w:r>
          </w:p>
        </w:tc>
        <w:tc>
          <w:tcPr>
            <w:tcW w:type="dxa" w:w="5112"/>
            <w:vAlign w:val="top"/>
          </w:tcPr>
          <w:p>
            <w:r>
              <w:t>Meta/WhatsApp, email, website/chat and future providers.</w:t>
            </w:r>
          </w:p>
        </w:tc>
      </w:tr>
      <w:tr>
        <w:tc>
          <w:tcPr>
            <w:tcW w:type="dxa" w:w="5112"/>
            <w:vAlign w:val="top"/>
          </w:tcPr>
          <w:p>
            <w:r>
              <w:t>System Configuration</w:t>
            </w:r>
          </w:p>
        </w:tc>
        <w:tc>
          <w:tcPr>
            <w:tcW w:type="dxa" w:w="5112"/>
            <w:vAlign w:val="top"/>
          </w:tcPr>
          <w:p>
            <w:r>
              <w:t>Feature flags, defaults and tenant-level configuration.</w:t>
            </w:r>
          </w:p>
        </w:tc>
      </w:tr>
      <w:tr>
        <w:tc>
          <w:tcPr>
            <w:tcW w:type="dxa" w:w="5112"/>
            <w:vAlign w:val="top"/>
          </w:tcPr>
          <w:p>
            <w:r>
              <w:t>Audit Logs</w:t>
            </w:r>
          </w:p>
        </w:tc>
        <w:tc>
          <w:tcPr>
            <w:tcW w:type="dxa" w:w="5112"/>
            <w:vAlign w:val="top"/>
          </w:tcPr>
          <w:p>
            <w:r>
              <w:t>Sensitive actions, credit adjustments, integration changes and access events.</w:t>
            </w:r>
          </w:p>
        </w:tc>
      </w:tr>
      <w:tr>
        <w:tc>
          <w:tcPr>
            <w:tcW w:type="dxa" w:w="5112"/>
            <w:vAlign w:val="top"/>
          </w:tcPr>
          <w:p>
            <w:r>
              <w:t>Support / Diagnostics</w:t>
            </w:r>
          </w:p>
        </w:tc>
        <w:tc>
          <w:tcPr>
            <w:tcW w:type="dxa" w:w="5112"/>
            <w:vAlign w:val="top"/>
          </w:tcPr>
          <w:p>
            <w:r>
              <w:t>Inspect connection status, errors/events and resolve operational issues.</w:t>
            </w:r>
          </w:p>
        </w:tc>
      </w:tr>
    </w:tbl>
    <w:p>
      <w:pPr>
        <w:pStyle w:val="Heading1"/>
      </w:pPr>
      <w:r>
        <w:t>8. Communication Architecture</w:t>
      </w:r>
    </w:p>
    <w:p>
      <w:r>
        <w:rPr>
          <w:b w:val="0"/>
        </w:rPr>
        <w:t>The communication layer must be provider-agnostic. Do not hard-code the whole system around one provider.</w:t>
      </w:r>
    </w:p>
    <w:p>
      <w:pPr>
        <w:pStyle w:val="ListBullet"/>
      </w:pPr>
      <w:r>
        <w:t>WhatsApp</w:t>
      </w:r>
    </w:p>
    <w:p>
      <w:pPr>
        <w:pStyle w:val="ListBullet"/>
      </w:pPr>
      <w:r>
        <w:t>Instagram</w:t>
      </w:r>
    </w:p>
    <w:p>
      <w:pPr>
        <w:pStyle w:val="ListBullet"/>
      </w:pPr>
      <w:r>
        <w:t>Facebook/Messenger</w:t>
      </w:r>
    </w:p>
    <w:p>
      <w:pPr>
        <w:pStyle w:val="ListBullet"/>
      </w:pPr>
      <w:r>
        <w:t>Email</w:t>
      </w:r>
    </w:p>
    <w:p>
      <w:pPr>
        <w:pStyle w:val="ListBullet"/>
      </w:pPr>
      <w:r>
        <w:t>Website Chat</w:t>
      </w:r>
    </w:p>
    <w:p>
      <w:pPr>
        <w:pStyle w:val="ListBullet"/>
      </w:pPr>
      <w:r>
        <w:t>Future channels</w:t>
      </w:r>
    </w:p>
    <w:p>
      <w:r>
        <w:rPr>
          <w:b w:val="0"/>
        </w:rPr>
        <w:t>Logical flow:</w:t>
      </w:r>
    </w:p>
    <w:p>
      <w:r>
        <w:rPr>
          <w:b w:val="0"/>
        </w:rPr>
        <w:t>END CUSTOMER CHANNEL → PROVIDER/API → GOS COMMUNICATION SERVICE → MESSAGE EVENT → INBOX/CRM → AI OR HUMAN ACTION → PROVIDER/API → END CUSTOMER</w:t>
      </w:r>
    </w:p>
    <w:p>
      <w:pPr>
        <w:pStyle w:val="Heading1"/>
      </w:pPr>
      <w:r>
        <w:t>9. Normalized Communication Event</w:t>
      </w:r>
    </w:p>
    <w:p>
      <w:r>
        <w:rPr>
          <w:b w:val="0"/>
        </w:rPr>
        <w:t>All providers should be converted into one internal message/event structure. At minimum capture:</w:t>
      </w:r>
    </w:p>
    <w:p>
      <w:pPr>
        <w:pStyle w:val="ListBullet"/>
      </w:pPr>
      <w:r>
        <w:t>tenant_id</w:t>
      </w:r>
    </w:p>
    <w:p>
      <w:pPr>
        <w:pStyle w:val="ListBullet"/>
      </w:pPr>
      <w:r>
        <w:t>business_id</w:t>
      </w:r>
    </w:p>
    <w:p>
      <w:pPr>
        <w:pStyle w:val="ListBullet"/>
      </w:pPr>
      <w:r>
        <w:t>contact_id</w:t>
      </w:r>
    </w:p>
    <w:p>
      <w:pPr>
        <w:pStyle w:val="ListBullet"/>
      </w:pPr>
      <w:r>
        <w:t>conversation_id</w:t>
      </w:r>
    </w:p>
    <w:p>
      <w:pPr>
        <w:pStyle w:val="ListBullet"/>
      </w:pPr>
      <w:r>
        <w:t>channel</w:t>
      </w:r>
    </w:p>
    <w:p>
      <w:pPr>
        <w:pStyle w:val="ListBullet"/>
      </w:pPr>
      <w:r>
        <w:t>provider</w:t>
      </w:r>
    </w:p>
    <w:p>
      <w:pPr>
        <w:pStyle w:val="ListBullet"/>
      </w:pPr>
      <w:r>
        <w:t>provider_account_id</w:t>
      </w:r>
    </w:p>
    <w:p>
      <w:pPr>
        <w:pStyle w:val="ListBullet"/>
      </w:pPr>
      <w:r>
        <w:t>provider_message_id</w:t>
      </w:r>
    </w:p>
    <w:p>
      <w:pPr>
        <w:pStyle w:val="ListBullet"/>
      </w:pPr>
      <w:r>
        <w:t>direction</w:t>
      </w:r>
    </w:p>
    <w:p>
      <w:pPr>
        <w:pStyle w:val="ListBullet"/>
      </w:pPr>
      <w:r>
        <w:t>message_type</w:t>
      </w:r>
    </w:p>
    <w:p>
      <w:pPr>
        <w:pStyle w:val="ListBullet"/>
      </w:pPr>
      <w:r>
        <w:t>content or secure reference</w:t>
      </w:r>
    </w:p>
    <w:p>
      <w:pPr>
        <w:pStyle w:val="ListBullet"/>
      </w:pPr>
      <w:r>
        <w:t>timestamp</w:t>
      </w:r>
    </w:p>
    <w:p>
      <w:pPr>
        <w:pStyle w:val="ListBullet"/>
      </w:pPr>
      <w:r>
        <w:t>delivery/read/failure status</w:t>
      </w:r>
    </w:p>
    <w:p>
      <w:pPr>
        <w:pStyle w:val="ListBullet"/>
      </w:pPr>
      <w:r>
        <w:t>billing-relevant recipient/country metadata when required</w:t>
      </w:r>
    </w:p>
    <w:p>
      <w:pPr>
        <w:pStyle w:val="ListBullet"/>
      </w:pPr>
      <w:r>
        <w:t>usage_event_id</w:t>
      </w:r>
    </w:p>
    <w:p>
      <w:pPr>
        <w:pStyle w:val="ListBullet"/>
      </w:pPr>
      <w:r>
        <w:t>created_at / updated_at</w:t>
      </w:r>
    </w:p>
    <w:p>
      <w:pPr>
        <w:pStyle w:val="Heading1"/>
      </w:pPr>
      <w:r>
        <w:t>10. Webhooks &amp; Event Processing</w:t>
      </w:r>
    </w:p>
    <w:p>
      <w:pPr>
        <w:pStyle w:val="ListNumber"/>
      </w:pPr>
      <w:r>
        <w:t>Receive provider webhook.</w:t>
      </w:r>
    </w:p>
    <w:p>
      <w:pPr>
        <w:pStyle w:val="ListNumber"/>
      </w:pPr>
      <w:r>
        <w:t>Validate signature/authentication.</w:t>
      </w:r>
    </w:p>
    <w:p>
      <w:pPr>
        <w:pStyle w:val="ListNumber"/>
      </w:pPr>
      <w:r>
        <w:t>Resolve provider account → tenant → business → contact/conversation.</w:t>
      </w:r>
    </w:p>
    <w:p>
      <w:pPr>
        <w:pStyle w:val="ListNumber"/>
      </w:pPr>
      <w:r>
        <w:t>Apply idempotency using provider event/message ID.</w:t>
      </w:r>
    </w:p>
    <w:p>
      <w:pPr>
        <w:pStyle w:val="ListNumber"/>
      </w:pPr>
      <w:r>
        <w:t>Store normalized event.</w:t>
      </w:r>
    </w:p>
    <w:p>
      <w:pPr>
        <w:pStyle w:val="ListNumber"/>
      </w:pPr>
      <w:r>
        <w:t>Update conversation/CRM.</w:t>
      </w:r>
    </w:p>
    <w:p>
      <w:pPr>
        <w:pStyle w:val="ListNumber"/>
      </w:pPr>
      <w:r>
        <w:t>Trigger AI/follow-up if enabled.</w:t>
      </w:r>
    </w:p>
    <w:p>
      <w:pPr>
        <w:pStyle w:val="ListNumber"/>
      </w:pPr>
      <w:r>
        <w:t>Send outbound response through provider service.</w:t>
      </w:r>
    </w:p>
    <w:p>
      <w:pPr>
        <w:pStyle w:val="ListNumber"/>
      </w:pPr>
      <w:r>
        <w:t>Record provider delivery/read/failure status.</w:t>
      </w:r>
    </w:p>
    <w:p>
      <w:pPr>
        <w:pStyle w:val="ListNumber"/>
      </w:pPr>
      <w:r>
        <w:t>Create usage event where applicable.</w:t>
      </w:r>
    </w:p>
    <w:p>
      <w:r>
        <w:rPr>
          <w:b w:val="0"/>
        </w:rPr>
        <w:t>A duplicated webhook must not create a duplicated message, duplicated AI action or duplicated credit deduction.</w:t>
      </w:r>
    </w:p>
    <w:p>
      <w:pPr>
        <w:pStyle w:val="Heading1"/>
      </w:pPr>
      <w:r>
        <w:t>11. Communication Credits / Usage</w:t>
      </w:r>
    </w:p>
    <w:p>
      <w:r>
        <w:rPr>
          <w:b w:val="0"/>
        </w:rPr>
        <w:t>OpenAI is intentionally separate. The communication credit system is ONLY for external provider costs that GOS itself incurs.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Ledger field</w:t>
            </w:r>
          </w:p>
        </w:tc>
        <w:tc>
          <w:tcPr>
            <w:tcW w:type="dxa" w:w="5112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112"/>
            <w:vAlign w:val="top"/>
          </w:tcPr>
          <w:p>
            <w:r>
              <w:t>tenant_id</w:t>
            </w:r>
          </w:p>
        </w:tc>
        <w:tc>
          <w:tcPr>
            <w:tcW w:type="dxa" w:w="5112"/>
            <w:vAlign w:val="top"/>
          </w:tcPr>
          <w:p>
            <w:r>
              <w:t>Student/Admin owner</w:t>
            </w:r>
          </w:p>
        </w:tc>
      </w:tr>
      <w:tr>
        <w:tc>
          <w:tcPr>
            <w:tcW w:type="dxa" w:w="5112"/>
            <w:vAlign w:val="top"/>
          </w:tcPr>
          <w:p>
            <w:r>
              <w:t>business_id</w:t>
            </w:r>
          </w:p>
        </w:tc>
        <w:tc>
          <w:tcPr>
            <w:tcW w:type="dxa" w:w="5112"/>
            <w:vAlign w:val="top"/>
          </w:tcPr>
          <w:p>
            <w:r>
              <w:t>Exact end-customer business</w:t>
            </w:r>
          </w:p>
        </w:tc>
      </w:tr>
      <w:tr>
        <w:tc>
          <w:tcPr>
            <w:tcW w:type="dxa" w:w="5112"/>
            <w:vAlign w:val="top"/>
          </w:tcPr>
          <w:p>
            <w:r>
              <w:t>channel</w:t>
            </w:r>
          </w:p>
        </w:tc>
        <w:tc>
          <w:tcPr>
            <w:tcW w:type="dxa" w:w="5112"/>
            <w:vAlign w:val="top"/>
          </w:tcPr>
          <w:p>
            <w:r>
              <w:t>WhatsApp/email/etc.</w:t>
            </w:r>
          </w:p>
        </w:tc>
      </w:tr>
      <w:tr>
        <w:tc>
          <w:tcPr>
            <w:tcW w:type="dxa" w:w="5112"/>
            <w:vAlign w:val="top"/>
          </w:tcPr>
          <w:p>
            <w:r>
              <w:t>provider</w:t>
            </w:r>
          </w:p>
        </w:tc>
        <w:tc>
          <w:tcPr>
            <w:tcW w:type="dxa" w:w="5112"/>
            <w:vAlign w:val="top"/>
          </w:tcPr>
          <w:p>
            <w:r>
              <w:t>External provider</w:t>
            </w:r>
          </w:p>
        </w:tc>
      </w:tr>
      <w:tr>
        <w:tc>
          <w:tcPr>
            <w:tcW w:type="dxa" w:w="5112"/>
            <w:vAlign w:val="top"/>
          </w:tcPr>
          <w:p>
            <w:r>
              <w:t>provider_event_id</w:t>
            </w:r>
          </w:p>
        </w:tc>
        <w:tc>
          <w:tcPr>
            <w:tcW w:type="dxa" w:w="5112"/>
            <w:vAlign w:val="top"/>
          </w:tcPr>
          <w:p>
            <w:r>
              <w:t>External event/billing reference</w:t>
            </w:r>
          </w:p>
        </w:tc>
      </w:tr>
      <w:tr>
        <w:tc>
          <w:tcPr>
            <w:tcW w:type="dxa" w:w="5112"/>
            <w:vAlign w:val="top"/>
          </w:tcPr>
          <w:p>
            <w:r>
              <w:t>usage_type</w:t>
            </w:r>
          </w:p>
        </w:tc>
        <w:tc>
          <w:tcPr>
            <w:tcW w:type="dxa" w:w="5112"/>
            <w:vAlign w:val="top"/>
          </w:tcPr>
          <w:p>
            <w:r>
              <w:t>Message/email/SMS/etc.</w:t>
            </w:r>
          </w:p>
        </w:tc>
      </w:tr>
      <w:tr>
        <w:tc>
          <w:tcPr>
            <w:tcW w:type="dxa" w:w="5112"/>
            <w:vAlign w:val="top"/>
          </w:tcPr>
          <w:p>
            <w:r>
              <w:t>provider_cost</w:t>
            </w:r>
          </w:p>
        </w:tc>
        <w:tc>
          <w:tcPr>
            <w:tcW w:type="dxa" w:w="5112"/>
            <w:vAlign w:val="top"/>
          </w:tcPr>
          <w:p>
            <w:r>
              <w:t>Actual external cost</w:t>
            </w:r>
          </w:p>
        </w:tc>
      </w:tr>
      <w:tr>
        <w:tc>
          <w:tcPr>
            <w:tcW w:type="dxa" w:w="5112"/>
            <w:vAlign w:val="top"/>
          </w:tcPr>
          <w:p>
            <w:r>
              <w:t>customer_charge</w:t>
            </w:r>
          </w:p>
        </w:tc>
        <w:tc>
          <w:tcPr>
            <w:tcW w:type="dxa" w:w="5112"/>
            <w:vAlign w:val="top"/>
          </w:tcPr>
          <w:p>
            <w:r>
              <w:t>Amount deducted from GOS credit balance</w:t>
            </w:r>
          </w:p>
        </w:tc>
      </w:tr>
      <w:tr>
        <w:tc>
          <w:tcPr>
            <w:tcW w:type="dxa" w:w="5112"/>
            <w:vAlign w:val="top"/>
          </w:tcPr>
          <w:p>
            <w:r>
              <w:t>currency</w:t>
            </w:r>
          </w:p>
        </w:tc>
        <w:tc>
          <w:tcPr>
            <w:tcW w:type="dxa" w:w="5112"/>
            <w:vAlign w:val="top"/>
          </w:tcPr>
          <w:p>
            <w:r>
              <w:t>Ledger currency</w:t>
            </w:r>
          </w:p>
        </w:tc>
      </w:tr>
      <w:tr>
        <w:tc>
          <w:tcPr>
            <w:tcW w:type="dxa" w:w="5112"/>
            <w:vAlign w:val="top"/>
          </w:tcPr>
          <w:p>
            <w:r>
              <w:t>quantity</w:t>
            </w:r>
          </w:p>
        </w:tc>
        <w:tc>
          <w:tcPr>
            <w:tcW w:type="dxa" w:w="5112"/>
            <w:vAlign w:val="top"/>
          </w:tcPr>
          <w:p>
            <w:r>
              <w:t>Usage quantity</w:t>
            </w:r>
          </w:p>
        </w:tc>
      </w:tr>
      <w:tr>
        <w:tc>
          <w:tcPr>
            <w:tcW w:type="dxa" w:w="5112"/>
            <w:vAlign w:val="top"/>
          </w:tcPr>
          <w:p>
            <w:r>
              <w:t>unit_cost</w:t>
            </w:r>
          </w:p>
        </w:tc>
        <w:tc>
          <w:tcPr>
            <w:tcW w:type="dxa" w:w="5112"/>
            <w:vAlign w:val="top"/>
          </w:tcPr>
          <w:p>
            <w:r>
              <w:t>Provider cost basis where available</w:t>
            </w:r>
          </w:p>
        </w:tc>
      </w:tr>
      <w:tr>
        <w:tc>
          <w:tcPr>
            <w:tcW w:type="dxa" w:w="5112"/>
            <w:vAlign w:val="top"/>
          </w:tcPr>
          <w:p>
            <w:r>
              <w:t>status</w:t>
            </w:r>
          </w:p>
        </w:tc>
        <w:tc>
          <w:tcPr>
            <w:tcW w:type="dxa" w:w="5112"/>
            <w:vAlign w:val="top"/>
          </w:tcPr>
          <w:p>
            <w:r>
              <w:t>pending/confirmed/failed/reversed</w:t>
            </w:r>
          </w:p>
        </w:tc>
      </w:tr>
      <w:tr>
        <w:tc>
          <w:tcPr>
            <w:tcW w:type="dxa" w:w="5112"/>
            <w:vAlign w:val="top"/>
          </w:tcPr>
          <w:p>
            <w:r>
              <w:t>timestamp</w:t>
            </w:r>
          </w:p>
        </w:tc>
        <w:tc>
          <w:tcPr>
            <w:tcW w:type="dxa" w:w="5112"/>
            <w:vAlign w:val="top"/>
          </w:tcPr>
          <w:p>
            <w:r>
              <w:t>Usage time</w:t>
            </w:r>
          </w:p>
        </w:tc>
      </w:tr>
    </w:tbl>
    <w:p>
      <w:pPr>
        <w:pStyle w:val="ListBullet"/>
      </w:pPr>
      <w:r>
        <w:t>Use an immutable ledger plus calculated/current balance.</w:t>
      </w:r>
    </w:p>
    <w:p>
      <w:pPr>
        <w:pStyle w:val="ListBullet"/>
      </w:pPr>
      <w:r>
        <w:t>Never make the frontend the source of truth for balances.</w:t>
      </w:r>
    </w:p>
    <w:p>
      <w:pPr>
        <w:pStyle w:val="ListBullet"/>
      </w:pPr>
      <w:r>
        <w:t>Store provider cost separately from customer charge.</w:t>
      </w:r>
    </w:p>
    <w:p>
      <w:pPr>
        <w:pStyle w:val="ListBullet"/>
      </w:pPr>
      <w:r>
        <w:t>Failed/reversed events need a defined reversal policy.</w:t>
      </w:r>
    </w:p>
    <w:p>
      <w:pPr>
        <w:pStyle w:val="ListBullet"/>
      </w:pPr>
      <w:r>
        <w:t>Manual adjustments require an audit record.</w:t>
      </w:r>
    </w:p>
    <w:p>
      <w:pPr>
        <w:pStyle w:val="ListBullet"/>
      </w:pPr>
      <w:r>
        <w:t>Support low-balance thresholds and alerts.</w:t>
      </w:r>
    </w:p>
    <w:p>
      <w:pPr>
        <w:pStyle w:val="Heading1"/>
      </w:pPr>
      <w:r>
        <w:t>12. Usage UI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View</w:t>
            </w:r>
          </w:p>
        </w:tc>
        <w:tc>
          <w:tcPr>
            <w:tcW w:type="dxa" w:w="5112"/>
          </w:tcPr>
          <w:p>
            <w:r>
              <w:rPr>
                <w:b/>
              </w:rPr>
              <w:t>Show</w:t>
            </w:r>
          </w:p>
        </w:tc>
      </w:tr>
      <w:tr>
        <w:tc>
          <w:tcPr>
            <w:tcW w:type="dxa" w:w="5112"/>
            <w:vAlign w:val="top"/>
          </w:tcPr>
          <w:p>
            <w:r>
              <w:t>Admin client list</w:t>
            </w:r>
          </w:p>
        </w:tc>
        <w:tc>
          <w:tcPr>
            <w:tcW w:type="dxa" w:w="5112"/>
            <w:vAlign w:val="top"/>
          </w:tcPr>
          <w:p>
            <w:r>
              <w:t>Business, status, balance, current-period usage, connection status.</w:t>
            </w:r>
          </w:p>
        </w:tc>
      </w:tr>
      <w:tr>
        <w:tc>
          <w:tcPr>
            <w:tcW w:type="dxa" w:w="5112"/>
            <w:vAlign w:val="top"/>
          </w:tcPr>
          <w:p>
            <w:r>
              <w:t>Admin client usage</w:t>
            </w:r>
          </w:p>
        </w:tc>
        <w:tc>
          <w:tcPr>
            <w:tcW w:type="dxa" w:w="5112"/>
            <w:vAlign w:val="top"/>
          </w:tcPr>
          <w:p>
            <w:r>
              <w:t>Usage by channel, period, quantity, provider cost and deducted credits.</w:t>
            </w:r>
          </w:p>
        </w:tc>
      </w:tr>
      <w:tr>
        <w:tc>
          <w:tcPr>
            <w:tcW w:type="dxa" w:w="5112"/>
            <w:vAlign w:val="top"/>
          </w:tcPr>
          <w:p>
            <w:r>
              <w:t>Credit history</w:t>
            </w:r>
          </w:p>
        </w:tc>
        <w:tc>
          <w:tcPr>
            <w:tcW w:type="dxa" w:w="5112"/>
            <w:vAlign w:val="top"/>
          </w:tcPr>
          <w:p>
            <w:r>
              <w:t>Top-ups, deductions, reversals and adjustments.</w:t>
            </w:r>
          </w:p>
        </w:tc>
      </w:tr>
      <w:tr>
        <w:tc>
          <w:tcPr>
            <w:tcW w:type="dxa" w:w="5112"/>
            <w:vAlign w:val="top"/>
          </w:tcPr>
          <w:p>
            <w:r>
              <w:t>Super Admin</w:t>
            </w:r>
          </w:p>
        </w:tc>
        <w:tc>
          <w:tcPr>
            <w:tcW w:type="dxa" w:w="5112"/>
            <w:vAlign w:val="top"/>
          </w:tcPr>
          <w:p>
            <w:r>
              <w:t>Global provider cost, customer charge, tenant/business/channel usage, failures, unresolved events and audit trail.</w:t>
            </w:r>
          </w:p>
        </w:tc>
      </w:tr>
    </w:tbl>
    <w:p>
      <w:pPr>
        <w:pStyle w:val="Heading1"/>
      </w:pPr>
      <w:r>
        <w:t>13. AI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Area</w:t>
            </w:r>
          </w:p>
        </w:tc>
        <w:tc>
          <w:tcPr>
            <w:tcW w:type="dxa" w:w="3408"/>
          </w:tcPr>
          <w:p>
            <w:r>
              <w:rPr>
                <w:b/>
              </w:rPr>
              <w:t>Cost owner</w:t>
            </w:r>
          </w:p>
        </w:tc>
        <w:tc>
          <w:tcPr>
            <w:tcW w:type="dxa" w:w="3408"/>
          </w:tcPr>
          <w:p>
            <w:r>
              <w:rPr>
                <w:b/>
              </w:rPr>
              <w:t>GOS responsibility</w:t>
            </w:r>
          </w:p>
        </w:tc>
      </w:tr>
      <w:tr>
        <w:tc>
          <w:tcPr>
            <w:tcW w:type="dxa" w:w="3408"/>
            <w:vAlign w:val="top"/>
          </w:tcPr>
          <w:p>
            <w:r>
              <w:t>AI model usage</w:t>
            </w:r>
          </w:p>
        </w:tc>
        <w:tc>
          <w:tcPr>
            <w:tcW w:type="dxa" w:w="3408"/>
            <w:vAlign w:val="top"/>
          </w:tcPr>
          <w:p>
            <w:r>
              <w:t>Student/end customer through own AI provider account</w:t>
            </w:r>
          </w:p>
        </w:tc>
        <w:tc>
          <w:tcPr>
            <w:tcW w:type="dxa" w:w="3408"/>
            <w:vAlign w:val="top"/>
          </w:tcPr>
          <w:p>
            <w:r>
              <w:t>Connection/configuration status only; NOT communication credits.</w:t>
            </w:r>
          </w:p>
        </w:tc>
      </w:tr>
      <w:tr>
        <w:tc>
          <w:tcPr>
            <w:tcW w:type="dxa" w:w="3408"/>
            <w:vAlign w:val="top"/>
          </w:tcPr>
          <w:p>
            <w:r>
              <w:t>Communication provider usage</w:t>
            </w:r>
          </w:p>
        </w:tc>
        <w:tc>
          <w:tcPr>
            <w:tcW w:type="dxa" w:w="3408"/>
            <w:vAlign w:val="top"/>
          </w:tcPr>
          <w:p>
            <w:r>
              <w:t>GOS may incur provider charges</w:t>
            </w:r>
          </w:p>
        </w:tc>
        <w:tc>
          <w:tcPr>
            <w:tcW w:type="dxa" w:w="3408"/>
            <w:vAlign w:val="top"/>
          </w:tcPr>
          <w:p>
            <w:r>
              <w:t>Track provider cost, customer charge and credits.</w:t>
            </w:r>
          </w:p>
        </w:tc>
      </w:tr>
    </w:tbl>
    <w:p>
      <w:r>
        <w:rPr>
          <w:b w:val="0"/>
        </w:rPr>
        <w:t>AI may process a communication event, but AI generation alone must never create a GOS communication-credit deduction.</w:t>
      </w:r>
    </w:p>
    <w:p>
      <w:pPr>
        <w:pStyle w:val="Heading1"/>
      </w:pPr>
      <w:r>
        <w:t>14. Integration Connection UX</w:t>
      </w:r>
    </w:p>
    <w:p>
      <w:pPr>
        <w:pStyle w:val="ListNumber"/>
      </w:pPr>
      <w:r>
        <w:t>Show provider and what it enables.</w:t>
      </w:r>
    </w:p>
    <w:p>
      <w:pPr>
        <w:pStyle w:val="ListNumber"/>
      </w:pPr>
      <w:r>
        <w:t>Show status: Not Connected / Connecting / Connected / Action Required / Error.</w:t>
      </w:r>
    </w:p>
    <w:p>
      <w:pPr>
        <w:pStyle w:val="ListNumber"/>
      </w:pPr>
      <w:r>
        <w:t>Start authorization/onboarding.</w:t>
      </w:r>
    </w:p>
    <w:p>
      <w:pPr>
        <w:pStyle w:val="ListNumber"/>
      </w:pPr>
      <w:r>
        <w:t>Receive callback and validate server-side.</w:t>
      </w:r>
    </w:p>
    <w:p>
      <w:pPr>
        <w:pStyle w:val="ListNumber"/>
      </w:pPr>
      <w:r>
        <w:t>Store required IDs/tokens securely.</w:t>
      </w:r>
    </w:p>
    <w:p>
      <w:pPr>
        <w:pStyle w:val="ListNumber"/>
      </w:pPr>
      <w:r>
        <w:t>Show connected account/business identity.</w:t>
      </w:r>
    </w:p>
    <w:p>
      <w:pPr>
        <w:pStyle w:val="ListNumber"/>
      </w:pPr>
      <w:r>
        <w:t>Show last successful sync.</w:t>
      </w:r>
    </w:p>
    <w:p>
      <w:pPr>
        <w:pStyle w:val="ListNumber"/>
      </w:pPr>
      <w:r>
        <w:t>Provide reconnect/disconnect where supported.</w:t>
      </w:r>
    </w:p>
    <w:p>
      <w:pPr>
        <w:pStyle w:val="ListNumber"/>
      </w:pPr>
      <w:r>
        <w:t>Show provider errors clearly.</w:t>
      </w:r>
    </w:p>
    <w:p>
      <w:pPr>
        <w:pStyle w:val="Heading1"/>
      </w:pPr>
      <w:r>
        <w:t>15. Security &amp; Tenant Isolation</w:t>
      </w:r>
    </w:p>
    <w:p>
      <w:pPr>
        <w:pStyle w:val="ListBullet"/>
      </w:pPr>
      <w:r>
        <w:t>Use explicit RBAC; frontend hiding is not security.</w:t>
      </w:r>
    </w:p>
    <w:p>
      <w:pPr>
        <w:pStyle w:val="ListBullet"/>
      </w:pPr>
      <w:r>
        <w:t>Every backend endpoint must verify tenant and role authorization.</w:t>
      </w:r>
    </w:p>
    <w:p>
      <w:pPr>
        <w:pStyle w:val="ListBullet"/>
      </w:pPr>
      <w:r>
        <w:t>Never expose provider secrets/API keys in frontend responses.</w:t>
      </w:r>
    </w:p>
    <w:p>
      <w:pPr>
        <w:pStyle w:val="ListBullet"/>
      </w:pPr>
      <w:r>
        <w:t>Mask sensitive credentials.</w:t>
      </w:r>
    </w:p>
    <w:p>
      <w:pPr>
        <w:pStyle w:val="ListBullet"/>
      </w:pPr>
      <w:r>
        <w:t>Audit impersonation/support access.</w:t>
      </w:r>
    </w:p>
    <w:p>
      <w:pPr>
        <w:pStyle w:val="ListBullet"/>
      </w:pPr>
      <w:r>
        <w:t>Audit credit adjustments and integration changes.</w:t>
      </w:r>
    </w:p>
    <w:p>
      <w:pPr>
        <w:pStyle w:val="ListBullet"/>
      </w:pPr>
      <w:r>
        <w:t>Do not allow stale business context to leak records after switching businesses.</w:t>
      </w:r>
    </w:p>
    <w:p>
      <w:pPr>
        <w:pStyle w:val="ListBullet"/>
      </w:pPr>
      <w:r>
        <w:t>Use permission-aware navigation AND backend enforcement.</w:t>
      </w:r>
    </w:p>
    <w:p>
      <w:pPr>
        <w:pStyle w:val="Heading1"/>
      </w:pPr>
      <w:r>
        <w:t>16. API Contracts Before UI Wiring</w:t>
      </w:r>
    </w:p>
    <w:p>
      <w:pPr>
        <w:pStyle w:val="ListBullet"/>
      </w:pPr>
      <w:r>
        <w:t>Authentication/session</w:t>
      </w:r>
    </w:p>
    <w:p>
      <w:pPr>
        <w:pStyle w:val="ListBullet"/>
      </w:pPr>
      <w:r>
        <w:t>Tenant/role/permission</w:t>
      </w:r>
    </w:p>
    <w:p>
      <w:pPr>
        <w:pStyle w:val="ListBullet"/>
      </w:pPr>
      <w:r>
        <w:t>Business/client</w:t>
      </w:r>
    </w:p>
    <w:p>
      <w:pPr>
        <w:pStyle w:val="ListBullet"/>
      </w:pPr>
      <w:r>
        <w:t>Integration connection</w:t>
      </w:r>
    </w:p>
    <w:p>
      <w:pPr>
        <w:pStyle w:val="ListBullet"/>
      </w:pPr>
      <w:r>
        <w:t>Channel status</w:t>
      </w:r>
    </w:p>
    <w:p>
      <w:pPr>
        <w:pStyle w:val="ListBullet"/>
      </w:pPr>
      <w:r>
        <w:t>Conversation/message</w:t>
      </w:r>
    </w:p>
    <w:p>
      <w:pPr>
        <w:pStyle w:val="ListBullet"/>
      </w:pPr>
      <w:r>
        <w:t>Webhook/event</w:t>
      </w:r>
    </w:p>
    <w:p>
      <w:pPr>
        <w:pStyle w:val="ListBullet"/>
      </w:pPr>
      <w:r>
        <w:t>Usage/credit ledger</w:t>
      </w:r>
    </w:p>
    <w:p>
      <w:pPr>
        <w:pStyle w:val="ListBullet"/>
      </w:pPr>
      <w:r>
        <w:t>Provider error</w:t>
      </w:r>
    </w:p>
    <w:p>
      <w:pPr>
        <w:pStyle w:val="ListBullet"/>
      </w:pPr>
      <w:r>
        <w:t>AI provider connection status</w:t>
      </w:r>
    </w:p>
    <w:p>
      <w:pPr>
        <w:pStyle w:val="ListBullet"/>
      </w:pPr>
      <w:r>
        <w:t>Audit log</w:t>
      </w:r>
    </w:p>
    <w:p>
      <w:r>
        <w:rPr>
          <w:b w:val="0"/>
        </w:rPr>
        <w:t>Frontend should consume agreed contracts. Do not invent response shapes independently.</w:t>
      </w:r>
    </w:p>
    <w:p>
      <w:pPr>
        <w:pStyle w:val="Heading1"/>
      </w:pPr>
      <w:r>
        <w:t>17. Reusable Frontend Components</w:t>
      </w:r>
    </w:p>
    <w:p>
      <w:pPr>
        <w:pStyle w:val="ListBullet"/>
      </w:pPr>
      <w:r>
        <w:t>Tenant/business switcher</w:t>
      </w:r>
    </w:p>
    <w:p>
      <w:pPr>
        <w:pStyle w:val="ListBullet"/>
      </w:pPr>
      <w:r>
        <w:t>Role-aware sidebar</w:t>
      </w:r>
    </w:p>
    <w:p>
      <w:pPr>
        <w:pStyle w:val="ListBullet"/>
      </w:pPr>
      <w:r>
        <w:t>Provider connection card</w:t>
      </w:r>
    </w:p>
    <w:p>
      <w:pPr>
        <w:pStyle w:val="ListBullet"/>
      </w:pPr>
      <w:r>
        <w:t>Connection status</w:t>
      </w:r>
    </w:p>
    <w:p>
      <w:pPr>
        <w:pStyle w:val="ListBullet"/>
      </w:pPr>
      <w:r>
        <w:t>Credit balance</w:t>
      </w:r>
    </w:p>
    <w:p>
      <w:pPr>
        <w:pStyle w:val="ListBullet"/>
      </w:pPr>
      <w:r>
        <w:t>Usage table/chart</w:t>
      </w:r>
    </w:p>
    <w:p>
      <w:pPr>
        <w:pStyle w:val="ListBullet"/>
      </w:pPr>
      <w:r>
        <w:t>Conversation list</w:t>
      </w:r>
    </w:p>
    <w:p>
      <w:pPr>
        <w:pStyle w:val="ListBullet"/>
      </w:pPr>
      <w:r>
        <w:t>Conversation timeline</w:t>
      </w:r>
    </w:p>
    <w:p>
      <w:pPr>
        <w:pStyle w:val="ListBullet"/>
      </w:pPr>
      <w:r>
        <w:t>Message composer</w:t>
      </w:r>
    </w:p>
    <w:p>
      <w:pPr>
        <w:pStyle w:val="ListBullet"/>
      </w:pPr>
      <w:r>
        <w:t>Integration setup wizard</w:t>
      </w:r>
    </w:p>
    <w:p>
      <w:pPr>
        <w:pStyle w:val="ListBullet"/>
      </w:pPr>
      <w:r>
        <w:t>Reconnect/error states</w:t>
      </w:r>
    </w:p>
    <w:p>
      <w:pPr>
        <w:pStyle w:val="ListBullet"/>
      </w:pPr>
      <w:r>
        <w:t>Permission denied state</w:t>
      </w:r>
    </w:p>
    <w:p>
      <w:pPr>
        <w:pStyle w:val="ListBullet"/>
      </w:pPr>
      <w:r>
        <w:t>Loading/empty/error states</w:t>
      </w:r>
    </w:p>
    <w:p>
      <w:pPr>
        <w:pStyle w:val="ListBullet"/>
      </w:pPr>
      <w:r>
        <w:t>Audit/activity timeline</w:t>
      </w:r>
    </w:p>
    <w:p>
      <w:pPr>
        <w:pStyle w:val="ListBullet"/>
      </w:pPr>
      <w:r>
        <w:t>Confirmation dialogs</w:t>
      </w:r>
    </w:p>
    <w:p>
      <w:pPr>
        <w:pStyle w:val="Heading1"/>
      </w:pPr>
      <w:r>
        <w:t>18. What NOT To Do</w:t>
      </w:r>
    </w:p>
    <w:p>
      <w:pPr>
        <w:pStyle w:val="ListBullet"/>
      </w:pPr>
      <w:r>
        <w:t>Do not mix User/Admin/Super Admin permissions in one generic dashboard.</w:t>
      </w:r>
    </w:p>
    <w:p>
      <w:pPr>
        <w:pStyle w:val="ListBullet"/>
      </w:pPr>
      <w:r>
        <w:t>Do not expose provider controls to the end customer unnecessarily.</w:t>
      </w:r>
    </w:p>
    <w:p>
      <w:pPr>
        <w:pStyle w:val="ListBullet"/>
      </w:pPr>
      <w:r>
        <w:t>Do not hard-code provider pricing in frontend code.</w:t>
      </w:r>
    </w:p>
    <w:p>
      <w:pPr>
        <w:pStyle w:val="ListBullet"/>
      </w:pPr>
      <w:r>
        <w:t>Do not put OpenAI usage into communication credits.</w:t>
      </w:r>
    </w:p>
    <w:p>
      <w:pPr>
        <w:pStyle w:val="ListBullet"/>
      </w:pPr>
      <w:r>
        <w:t>Do not calculate the authoritative balance in React/frontend.</w:t>
      </w:r>
    </w:p>
    <w:p>
      <w:pPr>
        <w:pStyle w:val="ListBullet"/>
      </w:pPr>
      <w:r>
        <w:t>Do not expose secrets to the browser.</w:t>
      </w:r>
    </w:p>
    <w:p>
      <w:pPr>
        <w:pStyle w:val="ListBullet"/>
      </w:pPr>
      <w:r>
        <w:t>Do not design provider-specific database structures that prevent adding channels later.</w:t>
      </w:r>
    </w:p>
    <w:p>
      <w:pPr>
        <w:pStyle w:val="ListBullet"/>
      </w:pPr>
      <w:r>
        <w:t>Do not allow cross-client data access.</w:t>
      </w:r>
    </w:p>
    <w:p>
      <w:pPr>
        <w:pStyle w:val="ListBullet"/>
      </w:pPr>
      <w:r>
        <w:t>Do not assume every message has the same external cost.</w:t>
      </w:r>
    </w:p>
    <w:p>
      <w:pPr>
        <w:pStyle w:val="Heading1"/>
      </w:pPr>
      <w:r>
        <w:t>19. Implementation Order</w:t>
      </w:r>
    </w:p>
    <w:p>
      <w:pPr>
        <w:pStyle w:val="ListNumber"/>
      </w:pPr>
      <w:r>
        <w:t>Define roles: SUPER_ADMIN, ADMIN/STUDENT, USER/END_CUSTOMER and future sub-roles.</w:t>
      </w:r>
    </w:p>
    <w:p>
      <w:pPr>
        <w:pStyle w:val="ListNumber"/>
      </w:pPr>
      <w:r>
        <w:t>Define tenant hierarchy and IDs.</w:t>
      </w:r>
    </w:p>
    <w:p>
      <w:pPr>
        <w:pStyle w:val="ListNumber"/>
      </w:pPr>
      <w:r>
        <w:t>Define permission matrix.</w:t>
      </w:r>
    </w:p>
    <w:p>
      <w:pPr>
        <w:pStyle w:val="ListNumber"/>
      </w:pPr>
      <w:r>
        <w:t>Define provider abstraction/interface.</w:t>
      </w:r>
    </w:p>
    <w:p>
      <w:pPr>
        <w:pStyle w:val="ListNumber"/>
      </w:pPr>
      <w:r>
        <w:t>Define normalized message/event schema.</w:t>
      </w:r>
    </w:p>
    <w:p>
      <w:pPr>
        <w:pStyle w:val="ListNumber"/>
      </w:pPr>
      <w:r>
        <w:t>Define connection lifecycle.</w:t>
      </w:r>
    </w:p>
    <w:p>
      <w:pPr>
        <w:pStyle w:val="ListNumber"/>
      </w:pPr>
      <w:r>
        <w:t>Define webhook/idempotency model.</w:t>
      </w:r>
    </w:p>
    <w:p>
      <w:pPr>
        <w:pStyle w:val="ListNumber"/>
      </w:pPr>
      <w:r>
        <w:t>Define usage/credit ledger and backend calculation service.</w:t>
      </w:r>
    </w:p>
    <w:p>
      <w:pPr>
        <w:pStyle w:val="ListNumber"/>
      </w:pPr>
      <w:r>
        <w:t>Define API contracts.</w:t>
      </w:r>
    </w:p>
    <w:p>
      <w:pPr>
        <w:pStyle w:val="ListNumber"/>
      </w:pPr>
      <w:r>
        <w:t>Build shared role-aware frontend shell.</w:t>
      </w:r>
    </w:p>
    <w:p>
      <w:pPr>
        <w:pStyle w:val="ListNumber"/>
      </w:pPr>
      <w:r>
        <w:t>Build User Dashboard integration/communication screens.</w:t>
      </w:r>
    </w:p>
    <w:p>
      <w:pPr>
        <w:pStyle w:val="ListNumber"/>
      </w:pPr>
      <w:r>
        <w:t>Build Admin client/usage screens.</w:t>
      </w:r>
    </w:p>
    <w:p>
      <w:pPr>
        <w:pStyle w:val="ListNumber"/>
      </w:pPr>
      <w:r>
        <w:t>Build Super Admin provider/usage/diagnostic screens.</w:t>
      </w:r>
    </w:p>
    <w:p>
      <w:pPr>
        <w:pStyle w:val="ListNumber"/>
      </w:pPr>
      <w:r>
        <w:t>Connect real provider sandbox/test accounts.</w:t>
      </w:r>
    </w:p>
    <w:p>
      <w:pPr>
        <w:pStyle w:val="ListNumber"/>
      </w:pPr>
      <w:r>
        <w:t>Test inbound → GOS → inbox → AI trigger → outbound.</w:t>
      </w:r>
    </w:p>
    <w:p>
      <w:pPr>
        <w:pStyle w:val="ListNumber"/>
      </w:pPr>
      <w:r>
        <w:t>Test usage → ledger → balance → Admin → Super Admin.</w:t>
      </w:r>
    </w:p>
    <w:p>
      <w:pPr>
        <w:pStyle w:val="ListNumber"/>
      </w:pPr>
      <w:r>
        <w:t>Test tenant isolation and permissions.</w:t>
      </w:r>
    </w:p>
    <w:p>
      <w:pPr>
        <w:pStyle w:val="ListNumber"/>
      </w:pPr>
      <w:r>
        <w:t>Test duplicate/retry/failure/reconnect cases.</w:t>
      </w:r>
    </w:p>
    <w:p>
      <w:pPr>
        <w:pStyle w:val="Heading1"/>
      </w:pPr>
      <w:r>
        <w:t>20. Acceptance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Test</w:t>
            </w:r>
          </w:p>
        </w:tc>
        <w:tc>
          <w:tcPr>
            <w:tcW w:type="dxa" w:w="5112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5112"/>
            <w:vAlign w:val="top"/>
          </w:tcPr>
          <w:p>
            <w:r>
              <w:t>User A logs in</w:t>
            </w:r>
          </w:p>
        </w:tc>
        <w:tc>
          <w:tcPr>
            <w:tcW w:type="dxa" w:w="5112"/>
            <w:vAlign w:val="top"/>
          </w:tcPr>
          <w:p>
            <w:r>
              <w:t>Only Business A data appears.</w:t>
            </w:r>
          </w:p>
        </w:tc>
      </w:tr>
      <w:tr>
        <w:tc>
          <w:tcPr>
            <w:tcW w:type="dxa" w:w="5112"/>
            <w:vAlign w:val="top"/>
          </w:tcPr>
          <w:p>
            <w:r>
              <w:t>Admin logs in</w:t>
            </w:r>
          </w:p>
        </w:tc>
        <w:tc>
          <w:tcPr>
            <w:tcW w:type="dxa" w:w="5112"/>
            <w:vAlign w:val="top"/>
          </w:tcPr>
          <w:p>
            <w:r>
              <w:t>Only their tenant and its businesses appear.</w:t>
            </w:r>
          </w:p>
        </w:tc>
      </w:tr>
      <w:tr>
        <w:tc>
          <w:tcPr>
            <w:tcW w:type="dxa" w:w="5112"/>
            <w:vAlign w:val="top"/>
          </w:tcPr>
          <w:p>
            <w:r>
              <w:t>Super Admin logs in</w:t>
            </w:r>
          </w:p>
        </w:tc>
        <w:tc>
          <w:tcPr>
            <w:tcW w:type="dxa" w:w="5112"/>
            <w:vAlign w:val="top"/>
          </w:tcPr>
          <w:p>
            <w:r>
              <w:t>Global search/control works according to permission.</w:t>
            </w:r>
          </w:p>
        </w:tc>
      </w:tr>
      <w:tr>
        <w:tc>
          <w:tcPr>
            <w:tcW w:type="dxa" w:w="5112"/>
            <w:vAlign w:val="top"/>
          </w:tcPr>
          <w:p>
            <w:r>
              <w:t>Client connects channel</w:t>
            </w:r>
          </w:p>
        </w:tc>
        <w:tc>
          <w:tcPr>
            <w:tcW w:type="dxa" w:w="5112"/>
            <w:vAlign w:val="top"/>
          </w:tcPr>
          <w:p>
            <w:r>
              <w:t>Connection belongs to correct tenant/business and is server-validated.</w:t>
            </w:r>
          </w:p>
        </w:tc>
      </w:tr>
      <w:tr>
        <w:tc>
          <w:tcPr>
            <w:tcW w:type="dxa" w:w="5112"/>
            <w:vAlign w:val="top"/>
          </w:tcPr>
          <w:p>
            <w:r>
              <w:t>Inbound message</w:t>
            </w:r>
          </w:p>
        </w:tc>
        <w:tc>
          <w:tcPr>
            <w:tcW w:type="dxa" w:w="5112"/>
            <w:vAlign w:val="top"/>
          </w:tcPr>
          <w:p>
            <w:r>
              <w:t>One normalized message appears in correct conversation.</w:t>
            </w:r>
          </w:p>
        </w:tc>
      </w:tr>
      <w:tr>
        <w:tc>
          <w:tcPr>
            <w:tcW w:type="dxa" w:w="5112"/>
            <w:vAlign w:val="top"/>
          </w:tcPr>
          <w:p>
            <w:r>
              <w:t>Duplicate webhook</w:t>
            </w:r>
          </w:p>
        </w:tc>
        <w:tc>
          <w:tcPr>
            <w:tcW w:type="dxa" w:w="5112"/>
            <w:vAlign w:val="top"/>
          </w:tcPr>
          <w:p>
            <w:r>
              <w:t>No duplicate message, AI action or billing event.</w:t>
            </w:r>
          </w:p>
        </w:tc>
      </w:tr>
      <w:tr>
        <w:tc>
          <w:tcPr>
            <w:tcW w:type="dxa" w:w="5112"/>
            <w:vAlign w:val="top"/>
          </w:tcPr>
          <w:p>
            <w:r>
              <w:t>Successful outbound</w:t>
            </w:r>
          </w:p>
        </w:tc>
        <w:tc>
          <w:tcPr>
            <w:tcW w:type="dxa" w:w="5112"/>
            <w:vAlign w:val="top"/>
          </w:tcPr>
          <w:p>
            <w:r>
              <w:t>Provider status is stored and usage processed according to provider billing.</w:t>
            </w:r>
          </w:p>
        </w:tc>
      </w:tr>
      <w:tr>
        <w:tc>
          <w:tcPr>
            <w:tcW w:type="dxa" w:w="5112"/>
            <w:vAlign w:val="top"/>
          </w:tcPr>
          <w:p>
            <w:r>
              <w:t>Provider failure</w:t>
            </w:r>
          </w:p>
        </w:tc>
        <w:tc>
          <w:tcPr>
            <w:tcW w:type="dxa" w:w="5112"/>
            <w:vAlign w:val="top"/>
          </w:tcPr>
          <w:p>
            <w:r>
              <w:t>Failure visible; no false successful charge.</w:t>
            </w:r>
          </w:p>
        </w:tc>
      </w:tr>
      <w:tr>
        <w:tc>
          <w:tcPr>
            <w:tcW w:type="dxa" w:w="5112"/>
            <w:vAlign w:val="top"/>
          </w:tcPr>
          <w:p>
            <w:r>
              <w:t>Credit adjustment</w:t>
            </w:r>
          </w:p>
        </w:tc>
        <w:tc>
          <w:tcPr>
            <w:tcW w:type="dxa" w:w="5112"/>
            <w:vAlign w:val="top"/>
          </w:tcPr>
          <w:p>
            <w:r>
              <w:t>Backend ledger changes balance and audit record is created.</w:t>
            </w:r>
          </w:p>
        </w:tc>
      </w:tr>
      <w:tr>
        <w:tc>
          <w:tcPr>
            <w:tcW w:type="dxa" w:w="5112"/>
            <w:vAlign w:val="top"/>
          </w:tcPr>
          <w:p>
            <w:r>
              <w:t>Business switch</w:t>
            </w:r>
          </w:p>
        </w:tc>
        <w:tc>
          <w:tcPr>
            <w:tcW w:type="dxa" w:w="5112"/>
            <w:vAlign w:val="top"/>
          </w:tcPr>
          <w:p>
            <w:r>
              <w:t>Previous business data disappears from active context.</w:t>
            </w:r>
          </w:p>
        </w:tc>
      </w:tr>
      <w:tr>
        <w:tc>
          <w:tcPr>
            <w:tcW w:type="dxa" w:w="5112"/>
            <w:vAlign w:val="top"/>
          </w:tcPr>
          <w:p>
            <w:r>
              <w:t>Unauthorized endpoint</w:t>
            </w:r>
          </w:p>
        </w:tc>
        <w:tc>
          <w:tcPr>
            <w:tcW w:type="dxa" w:w="5112"/>
            <w:vAlign w:val="top"/>
          </w:tcPr>
          <w:p>
            <w:r>
              <w:t>Backend rejects access.</w:t>
            </w:r>
          </w:p>
        </w:tc>
      </w:tr>
      <w:tr>
        <w:tc>
          <w:tcPr>
            <w:tcW w:type="dxa" w:w="5112"/>
            <w:vAlign w:val="top"/>
          </w:tcPr>
          <w:p>
            <w:r>
              <w:t>OpenAI response</w:t>
            </w:r>
          </w:p>
        </w:tc>
        <w:tc>
          <w:tcPr>
            <w:tcW w:type="dxa" w:w="5112"/>
            <w:vAlign w:val="top"/>
          </w:tcPr>
          <w:p>
            <w:r>
              <w:t>No GOS communication credit is deducted merely because AI generated text.</w:t>
            </w:r>
          </w:p>
        </w:tc>
      </w:tr>
    </w:tbl>
    <w:p>
      <w:pPr>
        <w:pStyle w:val="Heading1"/>
      </w:pPr>
      <w:r>
        <w:t>21. Meta / WhatsApp Dependency</w:t>
      </w:r>
    </w:p>
    <w:p>
      <w:r>
        <w:rPr>
          <w:b w:val="0"/>
        </w:rPr>
        <w:t>Before production, validate the exact current Meta/WhatsApp requirements for the chosen provider architecture: required APIs/products, permissions, App Review/Advanced Access, business assets/WABA ownership, onboarding flow, webhooks, and billing attribution. Development sandbox access must not be treated as proof that production multi-tenant onboarding is approved.</w:t>
      </w:r>
    </w:p>
    <w:p>
      <w:pPr>
        <w:pStyle w:val="ListBullet"/>
      </w:pPr>
      <w:r>
        <w:t>Document every required production approval.</w:t>
      </w:r>
    </w:p>
    <w:p>
      <w:pPr>
        <w:pStyle w:val="ListBullet"/>
      </w:pPr>
      <w:r>
        <w:t>Document the exact end-customer onboarding flow.</w:t>
      </w:r>
    </w:p>
    <w:p>
      <w:pPr>
        <w:pStyle w:val="ListBullet"/>
      </w:pPr>
      <w:r>
        <w:t>Document who owns each Meta business asset.</w:t>
      </w:r>
    </w:p>
    <w:p>
      <w:pPr>
        <w:pStyle w:val="ListBullet"/>
      </w:pPr>
      <w:r>
        <w:t>Document webhook routing.</w:t>
      </w:r>
    </w:p>
    <w:p>
      <w:pPr>
        <w:pStyle w:val="ListBullet"/>
      </w:pPr>
      <w:r>
        <w:t>Document how usage is attributed.</w:t>
      </w:r>
    </w:p>
    <w:p>
      <w:pPr>
        <w:pStyle w:val="ListBullet"/>
      </w:pPr>
      <w:r>
        <w:t>Keep provider-specific assumptions behind the integration layer.</w:t>
      </w:r>
    </w:p>
    <w:p>
      <w:pPr>
        <w:pStyle w:val="Heading1"/>
      </w:pPr>
      <w:r>
        <w:t>22. Definition of Done</w:t>
      </w:r>
    </w:p>
    <w:p>
      <w:pPr>
        <w:pStyle w:val="ListBullet"/>
      </w:pPr>
      <w:r>
        <w:t>All three dashboard layers are separate and permission-safe.</w:t>
      </w:r>
    </w:p>
    <w:p>
      <w:pPr>
        <w:pStyle w:val="ListBullet"/>
      </w:pPr>
      <w:r>
        <w:t>Communication providers connect through a reusable abstraction.</w:t>
      </w:r>
    </w:p>
    <w:p>
      <w:pPr>
        <w:pStyle w:val="ListBullet"/>
      </w:pPr>
      <w:r>
        <w:t>Inbound/outbound messaging works end-to-end.</w:t>
      </w:r>
    </w:p>
    <w:p>
      <w:pPr>
        <w:pStyle w:val="ListBullet"/>
      </w:pPr>
      <w:r>
        <w:t>Webhooks are idempotent.</w:t>
      </w:r>
    </w:p>
    <w:p>
      <w:pPr>
        <w:pStyle w:val="ListBullet"/>
      </w:pPr>
      <w:r>
        <w:t>Usage/credits are backend-controlled and auditable.</w:t>
      </w:r>
    </w:p>
    <w:p>
      <w:pPr>
        <w:pStyle w:val="ListBullet"/>
      </w:pPr>
      <w:r>
        <w:t>Provider cost and customer charge are separate.</w:t>
      </w:r>
    </w:p>
    <w:p>
      <w:pPr>
        <w:pStyle w:val="ListBullet"/>
      </w:pPr>
      <w:r>
        <w:t>OpenAI billing is fully separate from GOS communication credits.</w:t>
      </w:r>
    </w:p>
    <w:p>
      <w:pPr>
        <w:pStyle w:val="ListBullet"/>
      </w:pPr>
      <w:r>
        <w:t>Secrets are protected.</w:t>
      </w:r>
    </w:p>
    <w:p>
      <w:pPr>
        <w:pStyle w:val="ListBullet"/>
      </w:pPr>
      <w:r>
        <w:t>Tenant isolation and acceptance tests pass.</w:t>
      </w:r>
    </w:p>
    <w:p>
      <w:pPr>
        <w:pStyle w:val="Heading1"/>
      </w:pPr>
      <w:r>
        <w:t>23. Message to Send the Developer</w:t>
      </w:r>
    </w:p>
    <w:p>
      <w:r>
        <w:rPr>
          <w:b/>
        </w:rPr>
        <w:t>Hey, I want you to use this document as the technical structure for the Frontend + Communication part of GOS.</w:t>
      </w:r>
    </w:p>
    <w:p>
      <w:r>
        <w:rPr>
          <w:b w:val="0"/>
        </w:rPr>
        <w:t>Before you continue building screens, I want the architecture to be correct for the three account levels: User Dashboard for the final end customer, Admin Dashboard for the student/partner who manages their own clients, and Super Admin for our master control.</w:t>
      </w:r>
    </w:p>
    <w:p>
      <w:r>
        <w:rPr>
          <w:b w:val="0"/>
        </w:rPr>
        <w:t>Your part is especially important because you are handling the frontend and the communication/integration layer. Build the communication architecture as a provider-agnostic system, not as hard-coded WhatsApp/Meta logic. We need WhatsApp, Instagram/Facebook messaging, email and website chat to fit into the same normalized communication system, with webhooks, connection status, message events, retries and strict tenant isolation.</w:t>
      </w:r>
    </w:p>
    <w:p>
      <w:r>
        <w:rPr>
          <w:b w:val="0"/>
        </w:rPr>
        <w:t>Also build the Communication Credits/Usage structure separately from OpenAI. OpenAI usage is the student's/end customer's own AI cost and must NOT be part of our GOS communication-credit calculation. Our credits are only for provider costs that GOS itself incurs.</w:t>
      </w:r>
    </w:p>
    <w:p>
      <w:r>
        <w:rPr>
          <w:b w:val="0"/>
        </w:rPr>
        <w:t>The backend must be the source of truth for usage and credits. Every usage event should be traceable to tenant → business → channel → provider event, with provider cost and customer charge stored separately.</w:t>
      </w:r>
    </w:p>
    <w:p>
      <w:r>
        <w:rPr>
          <w:b w:val="0"/>
        </w:rPr>
        <w:t>Please define the data/API contracts and permission model with the backend developer before wiring the frontend. I do not want us to finish the UI and later discover that the multi-tenant communication or usage architecture cannot support production.</w:t>
      </w:r>
    </w:p>
    <w:p>
      <w:r>
        <w:rPr>
          <w:b w:val="0"/>
        </w:rPr>
        <w:t>Use the acceptance tests in this document as the minimum technical test list before considering this part complete.</w:t>
      </w:r>
    </w:p>
    <w:p>
      <w:pPr>
        <w:pStyle w:val="Heading1"/>
      </w:pPr>
      <w:r>
        <w:t>24. Final Principle</w:t>
      </w:r>
    </w:p>
    <w:p>
      <w:r>
        <w:rPr>
          <w:b w:val="0"/>
        </w:rPr>
        <w:t>The UI should feel simple, but the architecture underneath must be strict. The end customer sees a clean business tool. The student sees a clean client-management layer. Super Admin has the controls needed to operate the multi-tenant platform safely.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