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</w:tr>
    </w:tbl>
    <w:p>
      <w:pPr>
        <w:keepNext/>
        <w:spacing w:after="0" w:before="22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2381250" cy="495300"/>
            <wp:effectExtent t="0" r="0" b="0" l="0"/>
            <wp:docPr id="1" name="Technijian Logo" descr="Technijian Logo" title="Techniji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200"/>
      </w:pPr>
      <w:r>
        <w:t xml:space="preserve"/>
      </w:r>
    </w:p>
    <w:p>
      <w:pPr>
        <w:spacing w:after="90" w:before="0"/>
        <w:jc w:val="center"/>
      </w:pPr>
      <w:r>
        <w:rPr>
          <w:rFonts w:ascii="Open Sans" w:cs="Open Sans" w:eastAsia="Open Sans" w:hAnsi="Open Sans"/>
          <w:b/>
          <w:bCs/>
          <w:i w:val="false"/>
          <w:iCs w:val="false"/>
          <w:color w:val="F67D4B"/>
          <w:sz w:val="22"/>
          <w:szCs w:val="22"/>
        </w:rPr>
        <w:t xml:space="preserve">EXECUTIVE SUMMARY</w:t>
      </w:r>
    </w:p>
    <w:p>
      <w:pPr>
        <w:spacing w:after="80" w:before="0"/>
        <w:jc w:val="center"/>
      </w:pPr>
      <w:r>
        <w:rPr>
          <w:rFonts w:ascii="Open Sans" w:cs="Open Sans" w:eastAsia="Open Sans" w:hAnsi="Open Sans"/>
          <w:b/>
          <w:bCs/>
          <w:i w:val="false"/>
          <w:iCs w:val="false"/>
          <w:color w:val="1A1A2E"/>
          <w:sz w:val="42"/>
          <w:szCs w:val="42"/>
        </w:rPr>
        <w:t xml:space="preserve">The Holman Group</w:t>
      </w:r>
    </w:p>
    <w:p>
      <w:pPr>
        <w:spacing w:after="60"/>
        <w:jc w:val="center"/>
      </w:pPr>
      <w:r>
        <w:rPr>
          <w:rFonts w:ascii="Open Sans" w:cs="Open Sans" w:eastAsia="Open Sans" w:hAnsi="Open Sans"/>
          <w:i/>
          <w:iCs/>
          <w:color w:val="59595B"/>
          <w:sz w:val="21"/>
          <w:szCs w:val="21"/>
        </w:rPr>
        <w:t xml:space="preserve">Co-Managed IT, Security &amp; AI — what we verified, and the questions that complete the picture</w:t>
      </w:r>
    </w:p>
    <w:p>
      <w:pPr>
        <w:spacing w:after="180"/>
        <w:jc w:val="center"/>
      </w:pPr>
      <w:r>
        <w:rPr>
          <w:rFonts w:ascii="Open Sans" w:cs="Open Sans" w:eastAsia="Open Sans" w:hAnsi="Open Sans"/>
          <w:color w:val="59595B"/>
          <w:sz w:val="17"/>
          <w:szCs w:val="17"/>
        </w:rPr>
        <w:t xml:space="preserve">Prepared for The Holman Group  ·  June 16, 2026  ·  Confidential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80"/>
              <w:left w:type="dxa" w:w="90"/>
              <w:bottom w:type="dxa" w:w="18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44"/>
                <w:szCs w:val="44"/>
              </w:rPr>
              <w:t xml:space="preserve">1979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Behavioral health since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80"/>
              <w:left w:type="dxa" w:w="90"/>
              <w:bottom w:type="dxa" w:w="18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44"/>
                <w:szCs w:val="44"/>
              </w:rPr>
              <w:t xml:space="preserve">5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Overlapping data regimes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80"/>
              <w:left w:type="dxa" w:w="90"/>
              <w:bottom w:type="dxa" w:w="18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C0000"/>
                <w:sz w:val="44"/>
                <w:szCs w:val="44"/>
              </w:rPr>
              <w:t xml:space="preserve">$7.42M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Avg. healthcare breach (IBM 2025)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80"/>
              <w:left w:type="dxa" w:w="90"/>
              <w:bottom w:type="dxa" w:w="18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44"/>
                <w:szCs w:val="44"/>
              </w:rPr>
              <w:t xml:space="preserve">$200–360B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US healthcare AI opportunity/yr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spacing w:after="120" w:before="0" w:line="318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Holman Group is a California Knox-Keene–licensed, URAC-accredited behavioral-health and EAP company operating since 1979, with in-house IT led by a Network Administrator across roughly 60 computers and on-premises servers. You asked whether an outside partner could complement that team. This summary makes the case on two fronts and hands the specifics back to you — it states only verified facts and defers every organization-specific number to discovery.</w:t>
      </w:r>
    </w:p>
    <w:p>
      <w:pPr>
        <w:spacing w:after="60" w:before="0" w:line="318"/>
        <w:jc w:val="both"/>
      </w:pPr>
      <w:r>
        <w:rPr>
          <w:rFonts w:ascii="Open Sans" w:cs="Open Sans" w:eastAsia="Open Sans" w:hAnsi="Open Sans"/>
          <w:b/>
          <w:bCs/>
          <w:i w:val="false"/>
          <w:iCs w:val="false"/>
          <w:color w:val="1A1A2E"/>
          <w:sz w:val="22"/>
          <w:szCs w:val="22"/>
        </w:rPr>
        <w:t xml:space="preserve">Protect &amp; co-manage. </w:t>
      </w: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Your data sits under HIPAA, 42 CFR Part 2, California’s CMIA, DMHC (Knox-Keene), and URAC at once — more continuous security and evidence work than one administrator can staff around the clock. Co-managed IT keeps your team in charge while Technijian adds 24/7 monitoring, coverage, tooling, and audit-ready evidence.</w:t>
      </w:r>
      <w:r>
        <w:rPr>
          <w:rFonts w:ascii="Open Sans" w:cs="Open Sans" w:eastAsia="Open Sans" w:hAnsi="Open Sans"/>
          <w:b/>
          <w:bCs/>
          <w:i w:val="false"/>
          <w:iCs w:val="false"/>
          <w:color w:val="1A1A2E"/>
          <w:sz w:val="22"/>
          <w:szCs w:val="22"/>
        </w:rPr>
        <w:t xml:space="preserve">  Integrate AI. </w:t>
      </w: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Your EAP intake, 24/7 member line, claims, and authorizations are exactly where healthcare is applying AI today — as an assistant to staff, never an autonomous decision-maker.</w:t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What we verified</w:t>
      </w:r>
    </w:p>
    <w:p>
      <w:pPr>
        <w:pStyle w:val="ListParagraph"/>
        <w:numPr>
          <w:ilvl w:val="0"/>
          <w:numId w:val="2"/>
        </w:numPr>
        <w:spacing w:after="70" w:before="30" w:line="296"/>
      </w:pPr>
      <w:r>
        <w:rPr>
          <w:rFonts w:ascii="Open Sans" w:cs="Open Sans" w:eastAsia="Open Sans" w:hAnsi="Open Sans"/>
          <w:b/>
          <w:bCs/>
          <w:color w:val="1A1A2E"/>
          <w:sz w:val="21"/>
          <w:szCs w:val="21"/>
        </w:rPr>
        <w:t xml:space="preserve">Who you are: </w:t>
      </w:r>
      <w:r>
        <w:rPr>
          <w:rFonts w:ascii="Open Sans" w:cs="Open Sans" w:eastAsia="Open Sans" w:hAnsi="Open Sans"/>
          <w:b w:val="false"/>
          <w:bCs w:val="false"/>
          <w:color w:val="59595B"/>
          <w:sz w:val="21"/>
          <w:szCs w:val="21"/>
        </w:rPr>
        <w:t xml:space="preserve">behavioral-health &amp; EAP company, founded 1979, Canoga Park CA (+ Arizona); Knox-Keene licensed since 1985; URAC accredited since 2015; CEO Kwasi Holman; serving millions of members.</w:t>
      </w:r>
    </w:p>
    <w:p>
      <w:pPr>
        <w:pStyle w:val="ListParagraph"/>
        <w:numPr>
          <w:ilvl w:val="0"/>
          <w:numId w:val="2"/>
        </w:numPr>
        <w:spacing w:after="70" w:before="30" w:line="296"/>
      </w:pPr>
      <w:r>
        <w:rPr>
          <w:rFonts w:ascii="Open Sans" w:cs="Open Sans" w:eastAsia="Open Sans" w:hAnsi="Open Sans"/>
          <w:b/>
          <w:bCs/>
          <w:color w:val="1A1A2E"/>
          <w:sz w:val="21"/>
          <w:szCs w:val="21"/>
        </w:rPr>
        <w:t xml:space="preserve">What you run: </w:t>
      </w:r>
      <w:r>
        <w:rPr>
          <w:rFonts w:ascii="Open Sans" w:cs="Open Sans" w:eastAsia="Open Sans" w:hAnsi="Open Sans"/>
          <w:b w:val="false"/>
          <w:bCs w:val="false"/>
          <w:color w:val="59595B"/>
          <w:sz w:val="21"/>
          <w:szCs w:val="21"/>
        </w:rPr>
        <w:t xml:space="preserve">member and provider portals, a provider-search tool, and a managed-care claims/authorization platform (QuickCap, named on your site) on a Windows/IIS-style stack — internet-facing systems that need support and security.</w:t>
      </w:r>
    </w:p>
    <w:p>
      <w:pPr>
        <w:pStyle w:val="ListParagraph"/>
        <w:numPr>
          <w:ilvl w:val="0"/>
          <w:numId w:val="2"/>
        </w:numPr>
        <w:spacing w:after="70" w:before="30" w:line="296"/>
      </w:pPr>
      <w:r>
        <w:rPr>
          <w:rFonts w:ascii="Open Sans" w:cs="Open Sans" w:eastAsia="Open Sans" w:hAnsi="Open Sans"/>
          <w:b/>
          <w:bCs/>
          <w:color w:val="1A1A2E"/>
          <w:sz w:val="21"/>
          <w:szCs w:val="21"/>
        </w:rPr>
        <w:t xml:space="preserve">What you told us: </w:t>
      </w:r>
      <w:r>
        <w:rPr>
          <w:rFonts w:ascii="Open Sans" w:cs="Open Sans" w:eastAsia="Open Sans" w:hAnsi="Open Sans"/>
          <w:b w:val="false"/>
          <w:bCs w:val="false"/>
          <w:color w:val="59595B"/>
          <w:sz w:val="21"/>
          <w:szCs w:val="21"/>
        </w:rPr>
        <w:t xml:space="preserve">~60 endpoints, on-premises servers, an in-house IT team, and an interest in co-managed IT, help desk, cybersecurity, and strategic support — to complement, not replace.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50"/>
              <w:left w:type="dxa" w:w="230"/>
              <w:bottom w:type="dxa" w:w="150"/>
              <w:right w:type="dxa" w:w="190"/>
            </w:tcMar>
          </w:tcPr>
          <w:p>
            <w:pPr>
              <w:keepNext/>
              <w:keepLines/>
              <w:spacing w:after="7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What we did NOT assume</w:t>
            </w:r>
          </w:p>
          <w:p>
            <w:pPr>
              <w:keepNext w:val="false"/>
              <w:keepLines/>
              <w:spacing w:after="50" w:before="40" w:line="296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We have not guessed your server count, security tooling, Microsoft 365 footprint, backup design, or compliance-evidence process. Those are open questions in the full brief — answered by your team or by a free Nexus Assess.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Why it matters now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6927"/>
      </w:tblGrid>
      <w:tr>
        <w:trPr>
          <w:tblHeader/>
        </w:trPr>
        <w:tc>
          <w:tcPr>
            <w:tcW w:type="dxa" w:w="2433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18"/>
                <w:szCs w:val="18"/>
              </w:rPr>
              <w:t xml:space="preserve">Regime</w:t>
            </w:r>
          </w:p>
        </w:tc>
        <w:tc>
          <w:tcPr>
            <w:tcW w:type="dxa" w:w="692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18"/>
                <w:szCs w:val="18"/>
              </w:rPr>
              <w:t xml:space="preserve">Why it raises the bar</w:t>
            </w:r>
          </w:p>
        </w:tc>
      </w:tr>
      <w:tr>
        <w:trPr>
          <w:cantSplit/>
        </w:trPr>
        <w:tc>
          <w:tcPr>
            <w:tcW w:type="dxa" w:w="2433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line="272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18"/>
                <w:szCs w:val="18"/>
              </w:rPr>
              <w:t xml:space="preserve">HIPAA</w:t>
            </w:r>
          </w:p>
        </w:tc>
        <w:tc>
          <w:tcPr>
            <w:tcW w:type="dxa" w:w="692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line="272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18"/>
                <w:szCs w:val="18"/>
              </w:rPr>
              <w:t xml:space="preserve">A 2025 OCR proposal would make MFA, encryption, annual penetration testing, and six-month vulnerability scans mandatory.</w:t>
            </w:r>
          </w:p>
        </w:tc>
      </w:tr>
      <w:tr>
        <w:trPr>
          <w:cantSplit/>
        </w:trPr>
        <w:tc>
          <w:tcPr>
            <w:tcW w:type="dxa" w:w="2433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line="272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18"/>
                <w:szCs w:val="18"/>
              </w:rPr>
              <w:t xml:space="preserve">42 CFR Part 2</w:t>
            </w:r>
          </w:p>
        </w:tc>
        <w:tc>
          <w:tcPr>
            <w:tcW w:type="dxa" w:w="692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line="272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18"/>
                <w:szCs w:val="18"/>
              </w:rPr>
              <w:t xml:space="preserve">Stricter protection for substance-use records; enforcement with civil penalties became active February 2026.</w:t>
            </w:r>
          </w:p>
        </w:tc>
      </w:tr>
      <w:tr>
        <w:trPr>
          <w:cantSplit/>
        </w:trPr>
        <w:tc>
          <w:tcPr>
            <w:tcW w:type="dxa" w:w="2433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line="272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18"/>
                <w:szCs w:val="18"/>
              </w:rPr>
              <w:t xml:space="preserve">CMIA (California)</w:t>
            </w:r>
          </w:p>
        </w:tc>
        <w:tc>
          <w:tcPr>
            <w:tcW w:type="dxa" w:w="692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line="272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18"/>
                <w:szCs w:val="18"/>
              </w:rPr>
              <w:t xml:space="preserve">Penalties stack per record (up to $25,000/patient intentional) — a large breach is an existential exposure.</w:t>
            </w:r>
          </w:p>
        </w:tc>
      </w:tr>
      <w:tr>
        <w:trPr>
          <w:cantSplit/>
        </w:trPr>
        <w:tc>
          <w:tcPr>
            <w:tcW w:type="dxa" w:w="2433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line="272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18"/>
                <w:szCs w:val="18"/>
              </w:rPr>
              <w:t xml:space="preserve">DMHC + URAC</w:t>
            </w:r>
          </w:p>
        </w:tc>
        <w:tc>
          <w:tcPr>
            <w:tcW w:type="dxa" w:w="692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line="272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18"/>
                <w:szCs w:val="18"/>
              </w:rPr>
              <w:t xml:space="preserve">Ongoing regulator-facing reporting and recurring audited security obligations.</w:t>
            </w:r>
          </w:p>
        </w:tc>
      </w:tr>
    </w:tbl>
    <w:p>
      <w:pPr>
        <w:keepNext/>
        <w:spacing w:after="0" w:before="120"/>
      </w:pPr>
      <w:r>
        <w:t xml:space="preserve"/>
      </w:r>
    </w:p>
    <w:p>
      <w:pPr>
        <w:spacing w:after="60" w:before="0" w:line="318"/>
        <w:jc w:val="both"/>
      </w:pPr>
      <w:r>
        <w:rPr>
          <w:rFonts w:ascii="Open Sans" w:cs="Open Sans" w:eastAsia="Open Sans" w:hAnsi="Open Sans"/>
          <w:b/>
          <w:bCs/>
          <w:i w:val="false"/>
          <w:iCs w:val="false"/>
          <w:color w:val="1A1A2E"/>
          <w:sz w:val="22"/>
          <w:szCs w:val="22"/>
        </w:rPr>
        <w:t xml:space="preserve">The threat is concrete: </w:t>
      </w: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healthcare had the highest average breach cost of any sector in 2025 ($7.42M, IBM), and behavioral-health records are uniquely weaponizable — in the Vastaamo breach, patients were personally extorted with their own therapy notes. We raise this to be measured, not assumed: the right next step is a read of your actual exposure.</w:t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What a partnership looks like — and what it costs</w:t>
      </w:r>
    </w:p>
    <w:p>
      <w:pPr>
        <w:spacing w:after="100" w:before="0" w:line="318"/>
        <w:jc w:val="both"/>
      </w:pPr>
      <w:r>
        <w:rPr>
          <w:rFonts w:ascii="Open Sans" w:cs="Open Sans" w:eastAsia="Open Sans" w:hAnsi="Open Sans"/>
          <w:b/>
          <w:bCs/>
          <w:i w:val="false"/>
          <w:iCs w:val="false"/>
          <w:color w:val="1A1A2E"/>
          <w:sz w:val="22"/>
          <w:szCs w:val="22"/>
        </w:rPr>
        <w:t xml:space="preserve">Augment, not replace. </w:t>
      </w: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Your Network Administrator keeps control and gains a named, security-first Technijian pod plus the 24/7 MDR, after-hours coverage, compliance evidence, and project bandwidth one person cannot sustain alone. On the AI side, we apply assistive automation to the operations you already run — with PHI kept in private, governed deployments.</w:t>
      </w:r>
    </w:p>
    <w:p>
      <w:pPr>
        <w:spacing w:after="60" w:before="0" w:line="318"/>
        <w:jc w:val="both"/>
      </w:pPr>
      <w:r>
        <w:rPr>
          <w:rFonts w:ascii="Open Sans" w:cs="Open Sans" w:eastAsia="Open Sans" w:hAnsi="Open Sans"/>
          <w:b/>
          <w:bCs/>
          <w:i w:val="false"/>
          <w:iCs w:val="false"/>
          <w:color w:val="1A1A2E"/>
          <w:sz w:val="22"/>
          <w:szCs w:val="22"/>
        </w:rPr>
        <w:t xml:space="preserve">No invented numbers. </w:t>
      </w: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For context only, co-managed IT for ~60 seats runs roughly $9,000–$15,000/month at market-typical mid-market rates (a range, not a quote) — which is why consolidating IT, security, compliance, and a virtual CISO into one relationship is usually simpler and more economical than stitching vendors together. Your real figure is scoped only after a free assessment.</w:t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The next step — yours to keep</w:t>
      </w:r>
    </w:p>
    <w:p>
      <w:pPr>
        <w:spacing w:after="110" w:before="0" w:line="318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Book a free Nexus Assess: an internal and external vulnerability scan, a dark-web credential check, and a Microsoft 365 security review, returned as a prioritized roadmap mapped to HIPAA within about ten business days — yours to keep, no contract, no obligation. It answers most of the open questions with hard data and turns this summary into a costed plan.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50"/>
              <w:left w:type="dxa" w:w="230"/>
              <w:bottom w:type="dxa" w:w="150"/>
              <w:right w:type="dxa" w:w="190"/>
            </w:tcMar>
          </w:tcPr>
          <w:p>
            <w:pPr>
              <w:keepNext/>
              <w:keepLines/>
              <w:spacing w:after="7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Want the detail?</w:t>
            </w:r>
          </w:p>
          <w:p>
            <w:pPr>
              <w:keepNext/>
              <w:keepLines/>
              <w:spacing w:after="50" w:before="40" w:line="296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The full brief expands every point above and ends with a structured questionnaire — "Questions to Complete the Analysis" — covering your environment, security, compliance, operations, and roadmap. Answer those, or let the assessment measure them.</w:t>
            </w:r>
          </w:p>
          <w:p>
            <w:pPr>
              <w:keepNext w:val="false"/>
              <w:keepLines/>
              <w:spacing w:after="50" w:before="40" w:line="296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Ravi Jain, Founder &amp; CEO  ·  rjain@technijian.com  ·  949.379.8499  ·  technijian.com  ·  technology as a solution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700" w:right="1440" w:bottom="13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Open Sans" w:cs="Open Sans" w:eastAsia="Open Sans" w:hAnsi="Open Sans"/>
        <w:b/>
        <w:bCs/>
        <w:color w:val="59595B"/>
        <w:sz w:val="16"/>
        <w:szCs w:val="16"/>
      </w:rPr>
      <w:t xml:space="preserve">Technijian</w:t>
    </w:r>
    <w:r>
      <w:rPr>
        <w:rFonts w:ascii="Open Sans" w:cs="Open Sans" w:eastAsia="Open Sans" w:hAnsi="Open Sans"/>
        <w:color w:val="59595B"/>
        <w:sz w:val="16"/>
        <w:szCs w:val="16"/>
      </w:rPr>
      <w:t xml:space="preserve">  ·  technology as a solution  ·  technijian.com  ·  949.379.8499  ·  CONFIDENTIAL  ·  Page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single" w:color="006DB6" w:sz="6"/>
        <w:right w:val="none" w:color="FFFFFF" w:sz="0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drawing>
              <wp:inline distT="0" distB="0" distL="0" distR="0">
                <wp:extent cx="1181100" cy="247650"/>
                <wp:effectExtent t="0" r="0" b="0" l="0"/>
                <wp:docPr id="1" name="Technijian Logo" descr="Technijian Logo" title="Technijia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81100" cy="247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Open Sans" w:cs="Open Sans" w:eastAsia="Open Sans" w:hAnsi="Open Sans"/>
              <w:color w:val="59595B"/>
              <w:sz w:val="16"/>
              <w:szCs w:val="16"/>
            </w:rPr>
            <w:t xml:space="preserve">The Holman Group  ·  Executive Summary</w:t>
          </w:r>
        </w:p>
      </w:tc>
    </w:tr>
  </w:tbl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59595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Open Sans" w:cs="Open Sans" w:eastAsia="Open Sans" w:hAnsi="Open Sans"/>
      <w:b/>
      <w:bCs/>
      <w:color w:val="006D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3103d8b7cd0eed7467432b2205de7bc29f677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3103d8b7cd0eed7467432b2205de7bc29f677a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Holman Group — Executive Summary</dc:title>
  <dc:creator>Technijian</dc:creator>
  <dc:description>Forwardable executive summary for The Holman Group, prepared by Technijian.</dc:description>
  <cp:lastModifiedBy>Un-named</cp:lastModifiedBy>
  <cp:revision>1</cp:revision>
  <dcterms:created xsi:type="dcterms:W3CDTF">2026-06-24T16:10:52.936Z</dcterms:created>
  <dcterms:modified xsi:type="dcterms:W3CDTF">2026-06-24T16:10:52.941Z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