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pPr>
              <w:spacing w:after="0" w:before="200"/>
            </w:pPr>
            <w:r>
              <w:t xml:space="preserve"/>
            </w:r>
          </w:p>
        </w:tc>
      </w:tr>
    </w:tbl>
    <w:p>
      <w:pPr>
        <w:spacing w:after="0" w:before="50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22860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300"/>
      </w:pPr>
      <w:r>
        <w:t xml:space="preserve"/>
      </w:r>
    </w:p>
    <w:p>
      <w:pPr>
        <w:spacing w:after="60"/>
        <w:jc w:val="center"/>
      </w:pPr>
      <w:r>
        <w:rPr>
          <w:rFonts w:ascii="Open Sans" w:cs="Open Sans" w:eastAsia="Open Sans" w:hAnsi="Open Sans"/>
          <w:b/>
          <w:bCs/>
          <w:color w:val="1A1A2E"/>
          <w:sz w:val="52"/>
          <w:szCs w:val="52"/>
        </w:rPr>
        <w:t xml:space="preserve">CARDLOGIX</w:t>
      </w:r>
    </w:p>
    <w:p>
      <w:pPr>
        <w:spacing w:after="60"/>
        <w:jc w:val="center"/>
      </w:pPr>
      <w:r>
        <w:rPr>
          <w:rFonts w:ascii="Open Sans" w:cs="Open Sans" w:eastAsia="Open Sans" w:hAnsi="Open Sans"/>
          <w:color w:val="006DB6"/>
          <w:sz w:val="30"/>
          <w:szCs w:val="30"/>
        </w:rPr>
        <w:t xml:space="preserve">AI-Driven Business Development Blueprint</w:t>
      </w:r>
    </w:p>
    <w:p>
      <w:pPr>
        <w:spacing w:after="80"/>
        <w:jc w:val="center"/>
      </w:pPr>
      <w:r>
        <w:rPr>
          <w:rFonts w:ascii="Open Sans" w:cs="Open Sans" w:eastAsia="Open Sans" w:hAnsi="Open Sans"/>
          <w:b/>
          <w:bCs/>
          <w:color w:val="F67D4B"/>
          <w:sz w:val="26"/>
          <w:szCs w:val="26"/>
        </w:rPr>
        <w:t xml:space="preserve">Executive Summary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38"/>
                <w:szCs w:val="3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Tracks: your own IT + a channel partnership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38"/>
                <w:szCs w:val="38"/>
              </w:rPr>
              <w:t xml:space="preserve">3 waves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MFA mandates: federal → state/local → private (insurance)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38"/>
                <w:szCs w:val="38"/>
              </w:rPr>
              <w:t xml:space="preserve">~$31K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Entry program, Year 1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38"/>
                <w:szCs w:val="38"/>
              </w:rPr>
              <w:t xml:space="preserve">5 min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Apart in the Irvine Spectrum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spacing w:after="140" w:before="0" w:line="320"/>
        <w:jc w:val="center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CardLogix makes the credentials that secure identity — PIV, FIDO2, FRAC, and BIOSID. This summary distils a two-track plan: a small co-managed IT engagement for CardLogix’s own team now, and a phishing-resistant-MFA channel partnership where Technijian wraps managed services — including the certificate authority — around CardLogix’s cards for the customers now required to adopt them. Grounded in our May 29 conversation; the full plan is ready on request.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Prepared for CardLogix Corporation  |  Technijian  |  2026-05-30</w:t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The Opportunity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Two distinct openings sit in front of CardLogix, and the plan treats them as parallel tracks — one fast and close to home, one strategic.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8"/>
        <w:gridCol w:w="3880"/>
        <w:gridCol w:w="3882"/>
      </w:tblGrid>
      <w:tr>
        <w:trPr>
          <w:cantSplit/>
          <w:tblHeader/>
        </w:trPr>
        <w:tc>
          <w:tcPr>
            <w:tcW w:type="dxa" w:w="159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Track A — Your Own IT</w:t>
            </w:r>
          </w:p>
        </w:tc>
        <w:tc>
          <w:tcPr>
            <w:tcW w:type="dxa" w:w="388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Track B — MFA / CA Partnership</w:t>
            </w:r>
          </w:p>
        </w:tc>
      </w:tr>
      <w:tr>
        <w:trPr>
          <w:cantSplit/>
        </w:trPr>
        <w:tc>
          <w:tcPr>
            <w:tcW w:type="dxa" w:w="159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What</w:t>
            </w:r>
          </w:p>
        </w:tc>
        <w:tc>
          <w:tcPr>
            <w:tcW w:type="dxa" w:w="38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Co-managed IT for a lean internal team</w:t>
            </w:r>
          </w:p>
        </w:tc>
        <w:tc>
          <w:tcPr>
            <w:tcW w:type="dxa" w:w="388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CardLogix supplies the credentials; Technijian wraps managed IT, SOC, compliance, and the certificate authority for end customers</w:t>
            </w:r>
          </w:p>
        </w:tc>
      </w:tr>
      <w:tr>
        <w:trPr>
          <w:cantSplit/>
        </w:trPr>
        <w:tc>
          <w:tcPr>
            <w:tcW w:type="dxa" w:w="159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Confidence</w:t>
            </w:r>
          </w:p>
        </w:tc>
        <w:tc>
          <w:tcPr>
            <w:tcW w:type="dxa" w:w="38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High — this is what co-managed IT is for</w:t>
            </w:r>
          </w:p>
        </w:tc>
        <w:tc>
          <w:tcPr>
            <w:tcW w:type="dxa" w:w="388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Validated on our May 29 call — Nick confirmed it as a joint, customer-facing service</w:t>
            </w:r>
          </w:p>
        </w:tc>
      </w:tr>
      <w:tr>
        <w:trPr>
          <w:cantSplit/>
        </w:trPr>
        <w:tc>
          <w:tcPr>
            <w:tcW w:type="dxa" w:w="159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Time</w:t>
            </w:r>
          </w:p>
        </w:tc>
        <w:tc>
          <w:tcPr>
            <w:tcW w:type="dxa" w:w="38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Weeks once scoped</w:t>
            </w:r>
          </w:p>
        </w:tc>
        <w:tc>
          <w:tcPr>
            <w:tcW w:type="dxa" w:w="388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A few quarters — needs one joint pilot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7D4B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keepNext/>
              <w:keepLines/>
              <w:spacing w:after="80" w:before="80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22"/>
                <w:szCs w:val="22"/>
              </w:rPr>
              <w:t xml:space="preserve">Why Now — MFA Went From Recommended to Required, in Three Waves</w:t>
            </w:r>
          </w:p>
          <w:p>
            <w:pPr>
              <w:keepNext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Federal first (≈3 years ago), then state and local — including law enforcement under CJIS 5.9.5, mandatory as of October 1, 2024 — and now private companies, pushed by cyber-insurance renewals that require MFA to be in place.</w:t>
            </w:r>
          </w:p>
          <w:p>
            <w:pPr>
              <w:keepNext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And the kind of MFA matters: phone-based codes (Cisco Duo, Okta) are being displaced because phones get compromised. CardLogix’s PIV and FIDO2 cards are the phishing-resistant answer — riding the badge people already carry.</w:t>
            </w:r>
          </w:p>
          <w:p>
            <w:pPr>
              <w:keepNext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What customers still need is a partner to deploy and operate it — the managed-services + certificate-authority wrap CardLogix does not bring today.</w:t>
            </w:r>
          </w:p>
          <w:p>
            <w:pPr>
              <w:keepNext w:val="false"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Honest note: Technijian runs eight compliance frameworks but not yet CJIS. We treat CJIS as a near-term build adjacent to our existing CMMC practice — triggered by exactly this partnership, never claimed as completed work.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How AI Powers Both Tracks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This is account-based, not broad lead generation. AI sits underneath the relationship layer — it surfaces the right accounts, arms the conversation, and automates the compliance evidence. The human trust between CardLogix, Technijian, and a customer still closes the deal.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029075"/>
            <wp:effectExtent t="0" r="0" b="0" l="0"/>
            <wp:docPr id="1" name="CardLogix AI Growth Engine" descr="CardLogix AI Growth Engine" title="CardLogix AI Growth En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Open Sans" w:cs="Open Sans" w:eastAsia="Open Sans" w:hAnsi="Open Sans"/>
          <w:i/>
          <w:iCs/>
          <w:color w:val="59595B"/>
          <w:sz w:val="18"/>
          <w:szCs w:val="18"/>
        </w:rPr>
        <w:t xml:space="preserve">Inbound authority · Outbound account intelligence · Internal evidence — feeding one joint pipeline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keepNext/>
              <w:keepLines/>
              <w:spacing w:after="80" w:before="80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2"/>
                <w:szCs w:val="22"/>
              </w:rPr>
              <w:t xml:space="preserve">Three Motions</w:t>
            </w:r>
          </w:p>
          <w:p>
            <w:pPr>
              <w:keepNext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Get cited: authority content answering the exact MFA, CJIS, and smart-card questions buyers ask.</w:t>
            </w:r>
          </w:p>
          <w:p>
            <w:pPr>
              <w:keepNext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Reach the right accounts: AI account intelligence and trigger monitoring on named agencies, private targets, and the integrators that serve them.</w:t>
            </w:r>
          </w:p>
          <w:p>
            <w:pPr>
              <w:keepNext w:val="false"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Remove the drag: AI-assisted compliance audit-evidence packs and card-lifecycle automation.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2"/>
                <w:szCs w:val="32"/>
              </w:rPr>
              <w:t xml:space="preserve">The Entry Program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The plan is built land-and-expand: a small, easy-to-approve entry that solves Track A now, with the larger partnership engine built later, once the entry proves the working relationship. Only the entry is shown here; the full Service Investment Map is reserved for the discovery call. Every figure is estimated and confirmed at discovery.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368"/>
        <w:gridCol w:w="1872"/>
      </w:tblGrid>
      <w:tr>
        <w:trPr>
          <w:cantSplit/>
          <w:tblHeader/>
        </w:trPr>
        <w:tc>
          <w:tcPr>
            <w:tcW w:type="dxa" w:w="312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36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Est. Y1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My IT — Co-Managed</w:t>
            </w:r>
          </w:p>
        </w:tc>
        <w:tc>
          <w:tcPr>
            <w:tcW w:type="dxa" w:w="436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Coverage, monitoring, patching, senior support for a lean team (per the 2026 rate card)</w:t>
            </w:r>
          </w:p>
        </w:tc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~$14,400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My SEO — Tier 3</w:t>
            </w:r>
          </w:p>
        </w:tc>
        <w:tc>
          <w:tcPr>
            <w:tcW w:type="dxa" w:w="436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Authority content on the MFA, CJIS + smart-card questions buyers ask</w:t>
            </w:r>
          </w:p>
        </w:tc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$12,000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My AI — Readiness Workshop</w:t>
            </w:r>
          </w:p>
        </w:tc>
        <w:tc>
          <w:tcPr>
            <w:tcW w:type="dxa" w:w="436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One-time: map the joint go-to-market + CJIS build path</w:t>
            </w:r>
          </w:p>
        </w:tc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~$5,000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ENTRY PROGRAM (Y1)</w:t>
            </w:r>
          </w:p>
        </w:tc>
        <w:tc>
          <w:tcPr>
            <w:tcW w:type="dxa" w:w="4368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The land — no large build</w:t>
            </w:r>
          </w:p>
        </w:tc>
        <w:tc>
          <w:tcPr>
            <w:tcW w:type="dxa" w:w="1872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0"/>
                <w:szCs w:val="20"/>
              </w:rPr>
              <w:t xml:space="preserve">~$31,400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We model the return as a range, not a single optimistic number. The Very Conservative floor assumes the partnership lands nothing in Year 1 (the entry pays back in recovered time and a stronger posture); the Likely case counts one joint managed-MFA/CA win, which Nick confirmed CardLogix wants to offer: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cantSplit/>
          <w:tblHeader/>
        </w:trPr>
        <w:tc>
          <w:tcPr>
            <w:tcW w:type="dxa" w:w="312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Year-1 ROI vs. entry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Very Conservative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Likely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006DB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Upside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Estimated Y1 value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+$15,000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+$55,000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20"/>
                <w:szCs w:val="20"/>
              </w:rPr>
              <w:t xml:space="preserve">+$95,000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59595B"/>
                <w:sz w:val="20"/>
                <w:szCs w:val="20"/>
              </w:rPr>
              <w:t xml:space="preserve">Modeled ROI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0"/>
                <w:szCs w:val="20"/>
              </w:rPr>
              <w:t xml:space="preserve">~0.5×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0"/>
                <w:szCs w:val="20"/>
              </w:rPr>
              <w:t xml:space="preserve">~1.8×</w:t>
            </w:r>
          </w:p>
        </w:tc>
        <w:tc>
          <w:tcPr>
            <w:tcW w:type="dxa" w:w="2080"/>
            <w:tcBorders>
              <w:top w:val="single" w:color="E9ECEF" w:sz="4"/>
              <w:left w:val="single" w:color="E9ECEF" w:sz="4"/>
              <w:bottom w:val="single" w:color="E9ECEF" w:sz="4"/>
              <w:right w:val="single" w:color="E9ECEF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0"/>
                <w:szCs w:val="20"/>
              </w:rPr>
              <w:t xml:space="preserve">~3.0×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40" w:before="0" w:line="320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The entry is small on purpose. The real economics live in the expansion — the managed CA on cloud HSM, the CJIS practice, the account-intelligence engine — against a market widening from federal and law enforcement into private companies. The bigger build comes later, once the entry proves the lift.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AAC8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keepNext/>
              <w:keepLines/>
              <w:spacing w:after="80" w:before="80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22"/>
                <w:szCs w:val="22"/>
              </w:rPr>
              <w:t xml:space="preserve">Start Free — Nexus Assess</w:t>
            </w:r>
          </w:p>
          <w:p>
            <w:pPr>
              <w:keepNext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Before any commitment, Technijian runs a free Nexus Assess security assessment: internal vulnerabilities (devices, Active Directory, patches, EOL systems), external exposure (perimeter scan + dark-web credential check), and a Microsoft 365 review (MFA coverage, risky sign-ins, admin roles, sharing).</w:t>
            </w:r>
          </w:p>
          <w:p>
            <w:pPr>
              <w:keepNext w:val="false"/>
              <w:keepLines/>
              <w:spacing w:after="60" w:before="40" w:line="300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It returns a prioritized remediation roadmap and maps to CJIS, HIPAA, SOC 2, PCI, and NIST — so the free run doubles as a head start on the CJIS gap map. No contract, no spend.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7D4B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67D4B"/>
                <w:sz w:val="32"/>
                <w:szCs w:val="32"/>
              </w:rPr>
              <w:t xml:space="preserve">The Roadmap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715000" cy="3286125"/>
            <wp:effectExtent t="0" r="0" b="0" l="0"/>
            <wp:docPr id="1" name="Implementation Roadmap" descr="Implementation Roadmap" title="Implementation Road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Open Sans" w:cs="Open Sans" w:eastAsia="Open Sans" w:hAnsi="Open Sans"/>
          <w:i/>
          <w:iCs/>
          <w:color w:val="59595B"/>
          <w:sz w:val="18"/>
          <w:szCs w:val="18"/>
        </w:rPr>
        <w:t xml:space="preserve">Foundation (0–90 days) → Joint Pilot (90–180) → Scale (180–365)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9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4"/>
                <w:szCs w:val="24"/>
              </w:rPr>
              <w:t xml:space="preserve">Two tracks, one local partner — five minutes away in the Spectrum.</w:t>
            </w:r>
          </w:p>
          <w:p>
            <w:pPr>
              <w:spacing w:after="70"/>
              <w:jc w:val="center"/>
            </w:pPr>
            <w:r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  <w:t xml:space="preserve">Use the Book a Meeting button in my signature to set up a time to discuss this and all the AI strategies Technijian is putting into place for itself and its clients.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  <w:t xml:space="preserve">Ravi Jain, Technijian  |  RJain@technijian.com  |  949.379.8499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80"/>
      <w:jc w:val="center"/>
    </w:pPr>
    <w:r>
      <w:rPr>
        <w:rFonts w:ascii="Open Sans" w:cs="Open Sans" w:eastAsia="Open Sans" w:hAnsi="Open Sans"/>
        <w:color w:val="59595B"/>
        <w:sz w:val="16"/>
        <w:szCs w:val="16"/>
      </w:rPr>
      <w:t xml:space="preserve">Technijian  |  Irvine, CA  |  949.379.8499  |  technijian.com  |  CONFIDENTIAL  |  Page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Open Sans" w:cs="Open Sans" w:eastAsia="Open Sans" w:hAnsi="Open Sans"/>
        <w:color w:val="59595B"/>
        <w:sz w:val="16"/>
        <w:szCs w:val="16"/>
      </w:rPr>
      <w:t xml:space="preserve"> of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2400"/>
      <w:gridCol w:w="69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524000" cy="3238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one" w:color="FFFFFF" w:sz="0"/>
            <w:left w:val="none" w:color="FFFFFF" w:sz="0"/>
            <w:bottom w:val="single" w:color="006DB6" w:sz="6"/>
            <w:right w:val="none" w:color="FFFFFF" w:sz="0"/>
          </w:tcBorders>
          <w:vAlign w:val="bottom"/>
        </w:tcPr>
        <w:p>
          <w:pPr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Executive Summary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da411e2cba4fb0a0de5b42d0cbf546939e758dd.png"/><Relationship Id="rId10" Type="http://schemas.openxmlformats.org/officeDocument/2006/relationships/image" Target="media/f84db891118c24927b62d2bcfcc855658e14bbcb.png"/><Relationship Id="rId11" Type="http://schemas.openxmlformats.org/officeDocument/2006/relationships/image" Target="media/cdb3cbc8cacd4275602897a433d61ed638d0c03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da411e2cba4fb0a0de5b42d0cbf546939e758d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2026-05-31T01:58:46.050Z</dcterms:created>
  <dcterms:modified xsi:type="dcterms:W3CDTF">2026-05-31T01:58:46.051Z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