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5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286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300"/>
      </w:pPr>
      <w:r>
        <w:t xml:space="preserve"/>
      </w:r>
    </w:p>
    <w:p>
      <w:pPr>
        <w:spacing w:after="60"/>
        <w:jc w:val="center"/>
      </w:pPr>
      <w:r>
        <w:rPr>
          <w:rFonts w:ascii="Open Sans" w:cs="Open Sans" w:eastAsia="Open Sans" w:hAnsi="Open Sans"/>
          <w:b/>
          <w:bCs/>
          <w:color w:val="1A1A2E"/>
          <w:sz w:val="52"/>
          <w:szCs w:val="52"/>
        </w:rPr>
        <w:t xml:space="preserve">CARDLOGIX</w:t>
      </w:r>
    </w:p>
    <w:p>
      <w:pPr>
        <w:spacing w:after="60"/>
        <w:jc w:val="center"/>
      </w:pPr>
      <w:r>
        <w:rPr>
          <w:rFonts w:ascii="Open Sans" w:cs="Open Sans" w:eastAsia="Open Sans" w:hAnsi="Open Sans"/>
          <w:color w:val="006DB6"/>
          <w:sz w:val="30"/>
          <w:szCs w:val="30"/>
        </w:rPr>
        <w:t xml:space="preserve">AI-Driven Business Development Blueprint</w:t>
      </w:r>
    </w:p>
    <w:p>
      <w:pPr>
        <w:spacing w:after="80"/>
        <w:jc w:val="center"/>
      </w:pPr>
      <w:r>
        <w:rPr>
          <w:rFonts w:ascii="Open Sans" w:cs="Open Sans" w:eastAsia="Open Sans" w:hAnsi="Open Sans"/>
          <w:b/>
          <w:bCs/>
          <w:color w:val="F67D4B"/>
          <w:sz w:val="26"/>
          <w:szCs w:val="26"/>
        </w:rPr>
        <w:t xml:space="preserve">Executive Summary</w:t>
      </w:r>
    </w:p>
    <w:p>
      <w:pPr>
        <w:spacing w:after="0" w:before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38"/>
                <w:szCs w:val="38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Tracks: your own IT + a channel partnership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38"/>
                <w:szCs w:val="38"/>
              </w:rPr>
              <w:t xml:space="preserve">3 waves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MFA mandates: federal → state/local → private (insurance)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38"/>
                <w:szCs w:val="38"/>
              </w:rPr>
              <w:t xml:space="preserve">~$31K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Entry program, Year 1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38"/>
                <w:szCs w:val="38"/>
              </w:rPr>
              <w:t xml:space="preserve">5 min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6"/>
                <w:szCs w:val="16"/>
              </w:rPr>
              <w:t xml:space="preserve">Apart in the Irvine Spectrum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spacing w:after="140" w:before="0" w:line="320"/>
        <w:jc w:val="center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CardLogix makes the credentials that secure identity — PIV, FIDO2, FRAC, and BIOSID. This summary distils a two-track plan: a small co-managed IT engagement for CardLogix’s own team now, and a phishing-resistant-MFA channel partnership where Technijian wraps managed services — including the certificate authority — around CardLogix’s cards for the customers now required to adopt them. Grounded in our May 29 conversation; the full plan is ready on request.</w:t>
      </w:r>
    </w:p>
    <w:p>
      <w:pPr>
        <w:spacing w:after="0" w:before="200"/>
      </w:pPr>
      <w:r>
        <w:t xml:space="preserve"/>
      </w:r>
    </w:p>
    <w:p>
      <w:pPr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Prepared for CardLogix Corporation  |  Technijian  |  2026-05-30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Opportunity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Two distinct openings sit in front of CardLogix, and the plan treats them as parallel tracks — one fast and close to home, one strategic.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0"/>
        <w:gridCol w:w="3882"/>
      </w:tblGrid>
      <w:tr>
        <w:trPr>
          <w:cantSplit/>
          <w:tblHeader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A — Your Own IT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Track B — MFA / CA Partnership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What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Co-managed IT for a lean internal team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CardLogix supplies the credentials; Technijian wraps managed IT, SOC, compliance, and the certificate authority for end customers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Confidence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High — this is what co-managed IT is for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Validated on our May 29 call — Nick confirmed it as a joint, customer-facing service</w:t>
            </w:r>
          </w:p>
        </w:tc>
      </w:tr>
      <w:tr>
        <w:trPr>
          <w:cantSplit/>
        </w:trPr>
        <w:tc>
          <w:tcPr>
            <w:tcW w:type="dxa" w:w="159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Time</w:t>
            </w:r>
          </w:p>
        </w:tc>
        <w:tc>
          <w:tcPr>
            <w:tcW w:type="dxa" w:w="38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Weeks once scoped</w:t>
            </w:r>
          </w:p>
        </w:tc>
        <w:tc>
          <w:tcPr>
            <w:tcW w:type="dxa" w:w="38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 few quarters — needs one joint pilot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Why Now — MFA Went From Recommended to Required, in Three Waves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Federal first (≈3 years ago), then state and local — including law enforcement under CJIS 5.9.5, mandatory as of October 1, 2024 — and now private companies, pushed by cyber-insurance renewals that require MFA to be in place.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And the kind of MFA matters: phone-based codes (Cisco Duo, Okta) are being displaced because phones get compromised. CardLogix’s PIV and FIDO2 cards are the phishing-resistant answer — riding the badge people already carry.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What customers still need is a partner to deploy and operate it — the managed-services + certificate-authority wrap CardLogix does not bring today.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Honest note: Technijian runs eight compliance frameworks but not yet CJIS. We treat CJIS as a near-term build adjacent to our existing CMMC practice — triggered by exactly this partnership, never claimed as completed work.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How AI Powers Both Tracks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This is account-based, not broad lead generation. AI sits underneath the relationship layer — it surfaces the right accounts, arms the conversation, and automates the compliance evidence. The human trust between CardLogix, Technijian, and a customer still closes the deal.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CardLogix AI Growth Engine" descr="CardLogix AI Growth Engine" title="CardLogix AI Growth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Inbound authority · Outbound account intelligence · Internal evidence — feeding one joint pipeline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Three Motions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Get cited: authority content answering the exact MFA, CJIS, and smart-card questions buyers ask.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Reach the right accounts: AI account intelligence and trigger monitoring on named agencies, private targets, and the integrators that serve them.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Remove the drag: AI-assisted compliance audit-evidence packs and card-lifecycle automation.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The Entry Program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plan is built land-and-expand: a small, easy-to-approve entry that solves Track A now, with the larger partnership engine built later, once the entry proves the working relationship. Only the entry is shown here; the full Service Investment Map is reserved for the discovery call. Every figure is estimated and confirmed at discovery.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368"/>
        <w:gridCol w:w="1872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Y1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IT — Co-Managed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Coverage, monitoring, patching, senior support for a lean team (per the 2026 rate card)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~$14,400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Tier 3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Authority content on the MFA, CJIS + smart-card questions buyers ask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$12,000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— Readiness Workshop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One-time: map the joint go-to-market + CJIS build path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ENTRY PROGRAM (Y1)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The land — no large build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~$31,400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We model the return as a range, not a single optimistic number. The Very Conservative floor assumes the partnership lands nothing in Year 1 (the entry pays back in recovered time and a stronger posture); the Likely case counts one joint managed-MFA/CA win, which Nick confirmed CardLogix wants to offer: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Year-1 ROI vs. entry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Very Conservative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Likely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Upside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Estimated Y1 value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+$15,000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+$55,000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+$95,000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Modeled ROI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Cost-recovered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~1.8×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~3.0×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entry is small on purpose. The real economics live in the expansion — the managed CA on cloud HSM, the CJIS practice, the account-intelligence engine — against a market widening from federal and law enforcement into private companies. The bigger build comes later, once the entry proves the lift.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22"/>
                <w:szCs w:val="22"/>
              </w:rPr>
              <w:t xml:space="preserve">Start Free — Nexus Assess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Before any commitment, Technijian runs a free Nexus Assess security assessment: internal vulnerabilities (devices, Active Directory, patches, EOL systems), external exposure (perimeter scan + dark-web credential check), and a Microsoft 365 review (MFA coverage, risky sign-ins, admin roles, sharing).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It returns a prioritized remediation roadmap and maps to CJIS, HIPAA, SOC 2, PCI, and NIST — so the free run doubles as a head start on the CJIS gap map. No contract, no spend.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2"/>
                <w:szCs w:val="32"/>
              </w:rPr>
              <w:t xml:space="preserve">The Roadmap</w:t>
            </w:r>
          </w:p>
        </w:tc>
      </w:tr>
    </w:tbl>
    <w:p>
      <w:pPr>
        <w:spacing w:after="80" w:before="120"/>
        <w:jc w:val="center"/>
      </w:pPr>
      <w:r>
        <w:drawing>
          <wp:inline distT="0" distB="0" distL="0" distR="0">
            <wp:extent cx="5715000" cy="2133600"/>
            <wp:effectExtent t="0" r="0" b="0" l="0"/>
            <wp:docPr id="1" name="Implementation Roadmap" descr="Implementation Roadmap" title="Implementation Road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Foundation (0–90 days) → Joint Pilot (90–180) → Scale (180–365)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4"/>
                <w:szCs w:val="24"/>
              </w:rPr>
              <w:t xml:space="preserve">Two tracks, one local partner — five minutes away in the Spectrum.</w:t>
            </w:r>
          </w:p>
          <w:p>
            <w:pPr>
              <w:spacing w:after="70"/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Use the Book a Meeting button in my signature to set up a time to discuss this and all the AI strategies Technijian is putting into place for itself and its clients.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Ravi Jain, Technijian  |  RJain@technijian.com  |  949.379.8499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Irvine, CA  |  949.379.8499  |  technijian.com  |  CONFIDENTIAL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Executive Summary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c129f62c257e6304a080d27e17c95995373c1f7d.png"/><Relationship Id="rId11" Type="http://schemas.openxmlformats.org/officeDocument/2006/relationships/image" Target="media/0b703a91cd512d5c41ae27a4bb6ead851146612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2026-05-31T14:10:33.322Z</dcterms:created>
  <dcterms:modified xsi:type="dcterms:W3CDTF">2026-05-31T14:10:33.323Z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