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pPr>
              <w:spacing w:after="0" w:before="200"/>
            </w:pPr>
            <w:r>
              <w:t xml:space="preserve"/>
            </w:r>
          </w:p>
        </w:tc>
      </w:tr>
    </w:tbl>
    <w:p>
      <w:pPr>
        <w:spacing w:after="0" w:before="5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286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00"/>
      </w:pPr>
      <w:r>
        <w:t xml:space="preserve"/>
      </w:r>
    </w:p>
    <w:p>
      <w:pPr>
        <w:spacing w:after="60"/>
        <w:jc w:val="center"/>
      </w:pPr>
      <w:r>
        <w:rPr>
          <w:rFonts w:ascii="Open Sans" w:cs="Open Sans" w:eastAsia="Open Sans" w:hAnsi="Open Sans"/>
          <w:b/>
          <w:bCs/>
          <w:color w:val="1A1A2E"/>
          <w:sz w:val="44"/>
          <w:szCs w:val="44"/>
        </w:rPr>
        <w:t xml:space="preserve">TCI TRANSPORTATION</w:t>
      </w:r>
    </w:p>
    <w:p>
      <w:pPr>
        <w:spacing w:after="40"/>
        <w:jc w:val="center"/>
      </w:pPr>
      <w:r>
        <w:rPr>
          <w:rFonts w:ascii="Open Sans" w:cs="Open Sans" w:eastAsia="Open Sans" w:hAnsi="Open Sans"/>
          <w:color w:val="006DB6"/>
          <w:sz w:val="30"/>
          <w:szCs w:val="30"/>
        </w:rPr>
        <w:t xml:space="preserve">AI Growth &amp; Integration Blueprint</w:t>
      </w:r>
    </w:p>
    <w:p>
      <w:pPr>
        <w:spacing w:after="60"/>
        <w:jc w:val="center"/>
      </w:pPr>
      <w:r>
        <w:rPr>
          <w:rFonts w:ascii="Open Sans" w:cs="Open Sans" w:eastAsia="Open Sans" w:hAnsi="Open Sans"/>
          <w:b/>
          <w:bCs/>
          <w:color w:val="F67D4B"/>
          <w:sz w:val="24"/>
          <w:szCs w:val="24"/>
        </w:rPr>
        <w:t xml:space="preserve">Executive Summary</w:t>
      </w:r>
    </w:p>
    <w:p>
      <w:pPr>
        <w:spacing w:after="0" w:before="2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0"/>
                <w:szCs w:val="40"/>
              </w:rPr>
              <w:t xml:space="preserve">1978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Family-owned, 2 generations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40"/>
                <w:szCs w:val="40"/>
              </w:rPr>
              <w:t xml:space="preserve">3,800+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Trucks, tractors &amp; trailers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40"/>
                <w:szCs w:val="40"/>
              </w:rPr>
              <w:t xml:space="preserve">26+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Facilities across 10 states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40"/>
                <w:szCs w:val="40"/>
              </w:rPr>
              <w:t xml:space="preserve">1,500+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7"/>
                <w:szCs w:val="17"/>
              </w:rPr>
              <w:t xml:space="preserve">Team members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spacing w:after="140" w:before="0" w:line="320"/>
        <w:jc w:val="center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TCI already runs operational AI — preventative maintenance, collision mitigation, telematics. This blueprint points AI at the one place it has not yet aimed: the commercial side, where the next dollar of growth is found, won, and kept. Two pillars: own the recurring leasing core through search and account intelligence, and own the California EV / WAIRE niche the national giants treat generically. This summary covers the opportunity, the engine, the program, and the entry. The full blueprint is ready on request.</w:t>
      </w:r>
    </w:p>
    <w:p>
      <w:pPr>
        <w:spacing w:after="0" w:before="200"/>
      </w:pPr>
      <w:r>
        <w:t xml:space="preserve"/>
      </w:r>
    </w:p>
    <w:p>
      <w:pPr>
        <w:spacing w:after="40"/>
        <w:jc w:val="center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Prepared for TCI Transportation  |  Technijian  |  2026-06-01</w:t>
      </w:r>
    </w:p>
    <w:p>
      <w:r>
        <w:br w:type="page"/>
      </w:r>
    </w:p>
    <w:p>
      <w:pPr>
        <w:pStyle w:val="Heading1"/>
        <w:keepNext/>
        <w:spacing w:after="120" w:before="36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01  The Opportunity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01  The Opportunity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TCI wins work through 47 years of relationships, a full-service offer under one roof, and a service culture the national giants can’t match in any single market. None of that changes. What this blueprint adds is a commercial-AI layer underneath it, on two pillars at once: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3"/>
        <w:gridCol w:w="3918"/>
        <w:gridCol w:w="3919"/>
      </w:tblGrid>
      <w:tr>
        <w:trPr>
          <w:cantSplit/>
          <w:tblHeader/>
        </w:trPr>
        <w:tc>
          <w:tcPr>
            <w:tcW w:type="dxa" w:w="152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1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Pillar 1 — The Recurring Core</w:t>
            </w:r>
          </w:p>
        </w:tc>
        <w:tc>
          <w:tcPr>
            <w:tcW w:type="dxa" w:w="3919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Pillar 2 — The EV / WAIRE Wedge</w:t>
            </w:r>
          </w:p>
        </w:tc>
      </w:tr>
      <w:tr>
        <w:trPr>
          <w:cantSplit/>
        </w:trPr>
        <w:tc>
          <w:tcPr>
            <w:tcW w:type="dxa" w:w="152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The win</w:t>
            </w:r>
          </w:p>
        </w:tc>
        <w:tc>
          <w:tcPr>
            <w:tcW w:type="dxa" w:w="391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More full-service leases, maintenance contracts, and used-truck sales captured</w:t>
            </w:r>
          </w:p>
        </w:tc>
        <w:tc>
          <w:tcPr>
            <w:tcW w:type="dxa" w:w="3919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Own the California zero-emission transition the giants treat generically</w:t>
            </w:r>
          </w:p>
        </w:tc>
      </w:tr>
      <w:tr>
        <w:trPr>
          <w:cantSplit/>
        </w:trPr>
        <w:tc>
          <w:tcPr>
            <w:tcW w:type="dxa" w:w="152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How</w:t>
            </w:r>
          </w:p>
        </w:tc>
        <w:tc>
          <w:tcPr>
            <w:tcW w:type="dxa" w:w="391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Local + answer-engine search across 26+ yards; account intelligence on fleets</w:t>
            </w:r>
          </w:p>
        </w:tc>
        <w:tc>
          <w:tcPr>
            <w:tcW w:type="dxa" w:w="3919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Target WAIRE-obligated warehouses; EV trucks + charging + a compliance-ROI tool</w:t>
            </w:r>
          </w:p>
        </w:tc>
      </w:tr>
      <w:tr>
        <w:trPr>
          <w:cantSplit/>
        </w:trPr>
        <w:tc>
          <w:tcPr>
            <w:tcW w:type="dxa" w:w="1523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AI role</w:t>
            </w:r>
          </w:p>
        </w:tc>
        <w:tc>
          <w:tcPr>
            <w:tcW w:type="dxa" w:w="391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Get found, surface named accounts, automate the quote and the RFP</w:t>
            </w:r>
          </w:p>
        </w:tc>
        <w:tc>
          <w:tcPr>
            <w:tcW w:type="dxa" w:w="3919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Find obligated warehouses by truck-trip data; make the compliance math a sale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Why Now — The 2026 Window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California is legislating the EV pillar into a deadline: SCAQMD’s WAIRE rule ramps warehouse obligations through 2031, and CARB’s Advanced Clean Fleets and Advanced Clean Trucks mandates push zero-emission adoption — a buyer who needs exactly what TCI offers, in TCI’s own air basin.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The freight market rewards diversification: with carriers failing and the recovery slow, TCI’s recurring mix — leasing, maintenance, factoring, used trucks — is a resilience story it does not yet tell where buyers look.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The national giants are digitally strong but generic. The nimble, local, family-owned operator that out-modernizes regionally captures the demand and the EV niche before they localize.</w:t>
            </w:r>
          </w:p>
        </w:tc>
      </w:tr>
    </w:tbl>
    <w:p>
      <w:pPr>
        <w:pStyle w:val="Heading1"/>
        <w:keepNext/>
        <w:spacing w:after="120" w:before="36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02  The Engine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02  The Engine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Three motions, all aimed at the fleets, shippers, and warehouses TCI already knows — never a broad funnel. AI gets TCI found, arms the sales team, and speeds the quoting and bidding; the relationship, the yards, and the lease still close the deal.</w:t>
      </w:r>
    </w:p>
    <w:p>
      <w:pPr>
        <w:spacing w:after="0" w:before="6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The TCI AI Growth Engine" descr="The TCI AI Growth Engine" title="The TCI AI Growth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Get Found · Account Intelligence &amp; Outbound · Internal Automation — extending the operational AI TCI already runs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Get found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Local and answer-engine search across 26+ yards: a page per facility and service, and authority content that owns the WAIRE, EV-truck, leasing, and used-truck questions buyers ask in Google and AI answers.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Win named accounts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The same public-records account-intelligence motion already in production for a Technijian client — 24 contact-ready leads in a single 75-minute run — pointed at WAIRE-obligated warehouses and named fleets. Delivered as My AI Lead Gen (published tiers), with RFP and lease-proposal automation behind 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Run leaner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 quote / spec-to-lease assistant, a WAIRE/EV ROI tool that turns the regulation into a sales conversation, used-truck merchandising, and an AI-assisted portal across leasing, maintenance, factoring, and roadside.</w:t>
            </w:r>
          </w:p>
        </w:tc>
      </w:tr>
    </w:tbl>
    <w:p>
      <w:pPr>
        <w:pStyle w:val="Heading1"/>
        <w:keepNext/>
        <w:spacing w:after="120" w:before="36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03  The Program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03  The Program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program is built land-and-expand on two published engines, then a custom build scoped at discovery. We are deliberate about money — only published prices are stated as firm (My SEO and My AI Lead Gen); the build is priced from the real 2026 US-led rates and scoped into a fixed-price Statement of Work, never an invented number.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3744"/>
        <w:gridCol w:w="1310"/>
        <w:gridCol w:w="1311"/>
      </w:tblGrid>
      <w:tr>
        <w:trPr>
          <w:cantSplit/>
          <w:tblHeader/>
        </w:trPr>
        <w:tc>
          <w:tcPr>
            <w:tcW w:type="dxa" w:w="299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Published Recurring Program</w:t>
            </w:r>
          </w:p>
        </w:tc>
        <w:tc>
          <w:tcPr>
            <w:tcW w:type="dxa" w:w="374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31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311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Y1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SEO — Tier 5 + AEO / PR / Syndication</w:t>
            </w:r>
          </w:p>
        </w:tc>
        <w:tc>
          <w:tcPr>
            <w:tcW w:type="dxa" w:w="374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Multi-location local + answer-engine search foundation; 12-mo, unlimited hours</w:t>
            </w:r>
          </w:p>
        </w:tc>
        <w:tc>
          <w:tcPr>
            <w:tcW w:type="dxa" w:w="131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$2,050</w:t>
            </w:r>
          </w:p>
        </w:tc>
        <w:tc>
          <w:tcPr>
            <w:tcW w:type="dxa" w:w="1311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~$24,600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AI Lead Gen — Professional</w:t>
            </w:r>
          </w:p>
        </w:tc>
        <w:tc>
          <w:tcPr>
            <w:tcW w:type="dxa" w:w="374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3 vertical pipelines (fleets, shippers, WAIRE warehouses), 2,500 leads/mo (+$5,000 setup)</w:t>
            </w:r>
          </w:p>
        </w:tc>
        <w:tc>
          <w:tcPr>
            <w:tcW w:type="dxa" w:w="131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$3,499</w:t>
            </w:r>
          </w:p>
        </w:tc>
        <w:tc>
          <w:tcPr>
            <w:tcW w:type="dxa" w:w="1311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~$46,988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PUBLISHED RECURRING (Y1)</w:t>
            </w:r>
          </w:p>
        </w:tc>
        <w:tc>
          <w:tcPr>
            <w:tcW w:type="dxa" w:w="374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Annual plans save 17% + waive setup (≈ $59,590)</w:t>
            </w:r>
          </w:p>
        </w:tc>
        <w:tc>
          <w:tcPr>
            <w:tcW w:type="dxa" w:w="131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$5,549</w:t>
            </w:r>
          </w:p>
        </w:tc>
        <w:tc>
          <w:tcPr>
            <w:tcW w:type="dxa" w:w="1311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~$71,588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4"/>
        <w:gridCol w:w="3385"/>
        <w:gridCol w:w="2391"/>
      </w:tblGrid>
      <w:tr>
        <w:trPr>
          <w:cantSplit/>
          <w:tblHeader/>
        </w:trPr>
        <w:tc>
          <w:tcPr>
            <w:tcW w:type="dxa" w:w="35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Custom Build &amp; Advisory (scoped in discovery)</w:t>
            </w:r>
          </w:p>
        </w:tc>
        <w:tc>
          <w:tcPr>
            <w:tcW w:type="dxa" w:w="338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Basis — 2026 US-led rate</w:t>
            </w:r>
          </w:p>
        </w:tc>
        <w:tc>
          <w:tcPr>
            <w:tcW w:type="dxa" w:w="2391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</w:tr>
      <w:tr>
        <w:trPr>
          <w:cantSplit/>
        </w:trPr>
        <w:tc>
          <w:tcPr>
            <w:tcW w:type="dxa" w:w="35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Custom AI &amp; app build (quote-to-lease, WAIRE/EV ROI tool, portal, used-truck)</w:t>
            </w:r>
          </w:p>
        </w:tc>
        <w:tc>
          <w:tcPr>
            <w:tcW w:type="dxa" w:w="338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US development $150/hr ($125/hr contracted)</w:t>
            </w:r>
          </w:p>
        </w:tc>
        <w:tc>
          <w:tcPr>
            <w:tcW w:type="dxa" w:w="2391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F67D4B"/>
                <w:sz w:val="20"/>
                <w:szCs w:val="20"/>
              </w:rPr>
              <w:t xml:space="preserve">Fixed-scope SOW</w:t>
            </w:r>
          </w:p>
        </w:tc>
      </w:tr>
      <w:tr>
        <w:trPr>
          <w:cantSplit/>
        </w:trPr>
        <w:tc>
          <w:tcPr>
            <w:tcW w:type="dxa" w:w="3584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Fractional AI Advisor + Executive Workshop</w:t>
            </w:r>
          </w:p>
        </w:tc>
        <w:tc>
          <w:tcPr>
            <w:tcW w:type="dxa" w:w="3385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Estimates: ~$2,000/mo + ~$5,000 one-time</w:t>
            </w:r>
          </w:p>
        </w:tc>
        <w:tc>
          <w:tcPr>
            <w:tcW w:type="dxa" w:w="2391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F67D4B"/>
                <w:sz w:val="20"/>
                <w:szCs w:val="20"/>
              </w:rPr>
              <w:t xml:space="preserve">Confirmed at discovery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The Return — Value at Stake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Rather than print an ROI multiple we cannot yet stand behind, we name the levers the program moves: new full-service lease and dedicated-contract wins, WAIRE-driven EV deals (a zero-emission Class 6/7 truck earns WAIRE points worth roughly $68,000 in avoided fees), used-truck unit-sales lift, and retained leasing volume.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Within five business days of a 30-minute discovery call, Technijian returns a calibrated ROI model and a fixed-scope Statement of Work built on TCI’s real per-deal economics. Prove the foundation first, then size the engine.</w:t>
            </w:r>
          </w:p>
        </w:tc>
      </w:tr>
    </w:tbl>
    <w:p>
      <w:pPr>
        <w:pStyle w:val="Heading1"/>
        <w:keepNext/>
        <w:spacing w:after="120" w:before="360" w:line="240"/>
      </w:pPr>
      <w:r>
        <w:rPr>
          <w:rFonts w:ascii="Open Sans" w:cs="Open Sans" w:eastAsia="Open Sans" w:hAnsi="Open Sans"/>
          <w:color w:val="FFFFFF"/>
          <w:sz w:val="2"/>
          <w:szCs w:val="2"/>
        </w:rPr>
        <w:t xml:space="preserve">04  The Roadmap &amp; Next Step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32"/>
                <w:szCs w:val="32"/>
              </w:rPr>
              <w:t xml:space="preserve">04  The Roadmap &amp; Next Step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Implementation Roadmap" descr="Implementation Roadmap" title="Implementation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Foundation (0–90 days) → Demand &amp; Intelligence (90–180) → Scale &amp; Automate (180–365)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9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6"/>
                <w:szCs w:val="26"/>
              </w:rPr>
              <w:t xml:space="preserve">A local, family-built partner for the commercial side of TCI.</w:t>
            </w:r>
          </w:p>
          <w:p>
            <w:pPr>
              <w:spacing w:after="90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FFFFFF"/>
                <w:sz w:val="22"/>
                <w:szCs w:val="22"/>
              </w:rPr>
              <w:t xml:space="preserve">Start with five Quick Wins and one live before/after — no contract, no obligation.</w:t>
            </w:r>
          </w:p>
          <w:p>
            <w:pPr>
              <w:spacing w:after="90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FFFFFF"/>
                <w:sz w:val="20"/>
                <w:szCs w:val="20"/>
              </w:rPr>
              <w:t xml:space="preserve">Use the Book a Meeting button in my signature to set up a time to discuss this and the</w:t>
            </w:r>
          </w:p>
          <w:p>
            <w:pPr>
              <w:spacing w:after="90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FFFFFF"/>
                <w:sz w:val="20"/>
                <w:szCs w:val="20"/>
              </w:rPr>
              <w:t xml:space="preserve">AI strategies Technijian is putting into place for itself and its clients.</w:t>
            </w:r>
          </w:p>
          <w:p>
            <w:pPr>
              <w:spacing w:after="0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FFFFFF"/>
                <w:sz w:val="20"/>
                <w:szCs w:val="20"/>
              </w:rPr>
              <w:t xml:space="preserve">Ravi Jain, Technijian  |  rjain@technijian.com  |  949.379.8499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40" w:before="0" w:line="320"/>
        <w:jc w:val="center"/>
      </w:pPr>
      <w:r>
        <w:rPr>
          <w:rFonts w:ascii="Open Sans" w:cs="Open Sans" w:eastAsia="Open Sans" w:hAnsi="Open Sans"/>
          <w:b w:val="false"/>
          <w:bCs w:val="false"/>
          <w:i/>
          <w:iCs/>
          <w:color w:val="59595B"/>
          <w:sz w:val="22"/>
          <w:szCs w:val="22"/>
        </w:rPr>
        <w:t xml:space="preserve">The full AI Growth &amp; Integration Blueprint — the buyer universe, competitive landscape, capability proof with real engagements, the complete service map, the truthful investment detail, and the discovery questions — is ready if you want to read further before we meet.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 |  Irvine, CA  |  949.379.8499  |  technijian.com  |  CONFIDENTIAL  |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59595B"/>
        <w:sz w:val="16"/>
        <w:szCs w:val="16"/>
      </w:rPr>
      <w:t xml:space="preserve"> of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2400"/>
      <w:gridCol w:w="69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52400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single" w:color="006DB6" w:sz="6"/>
            <w:right w:val="none" w:color="FFFFFF" w:sz="0"/>
          </w:tcBorders>
          <w:vAlign w:val="bottom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Executive Summary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Open Sans" w:cs="Open Sans" w:eastAsia="Open Sans" w:hAnsi="Open Sans"/>
      <w:b/>
      <w:bCs/>
      <w:color w:val="FFFFFF"/>
      <w:sz w:val="2"/>
      <w:szCs w:val="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a411e2cba4fb0a0de5b42d0cbf546939e758dd.png"/><Relationship Id="rId10" Type="http://schemas.openxmlformats.org/officeDocument/2006/relationships/image" Target="media/f6afa82dbecdf1e3809683db7555d51c5e436935.png"/><Relationship Id="rId11" Type="http://schemas.openxmlformats.org/officeDocument/2006/relationships/image" Target="media/a66cf8b7def7cd33dc8eadb7b111680937a6fc7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2026-06-01T23:05:37.466Z</dcterms:created>
  <dcterms:modified xsi:type="dcterms:W3CDTF">2026-06-01T23:05:37.468Z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