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/>
      </w:pPr>
    </w:p>
    <w:p>
      <w:r>
        <w:rPr>
          <w:rFonts w:ascii="Open Sans" w:cs="Open Sans" w:eastAsia="Open Sans" w:hAnsi="Open Sans"/>
          <w:color w:val="59595B"/>
          <w:sz w:val="22"/>
          <w:szCs w:val="22"/>
        </w:rPr>
        <w:t>April 9, 2026</w:t>
      </w:r>
    </w:p>
    <w:p>
      <w:pPr>
        <w:spacing w:before="200"/>
      </w:pP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>Canusa Hershman Recycling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>Attn: Executive Leadership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>15060 Northville Rd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>Plymouth, MI 48170</w:t>
      </w:r>
    </w:p>
    <w:p>
      <w:pPr>
        <w:spacing w:before="200"/>
      </w:pP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>Dear Canusa Hershman Leadership Team,</w:t>
      </w:r>
    </w:p>
    <w:p>
      <w:pPr>
        <w:spacing w:before="12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>I’m writing to introduce Technijian Corporation and the AI consulting services we provide to established global trade, recycling, and supply chain management companies. As an ISO-certified trading partner with operations spanning international commodities, metals recycling, and supply chain logistics, Canusa Hershman represents exactly the type of complexity-driven, compliance-regulated global operation where targeted AI adoption can create outsized returns — without disrupting what already works.</w:t>
      </w: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</w:r>
      <w:r>
        <w:rPr>
          <w:rFonts w:ascii="Open Sans" w:cs="Open Sans" w:eastAsia="Open Sans" w:hAnsi="Open Sans"/>
          <w:color w:val="59595B"/>
          <w:sz w:val="22"/>
          <w:szCs w:val="22"/>
        </w:rPr>
      </w:r>
      <w:r>
        <w:rPr>
          <w:rFonts w:ascii="Open Sans" w:cs="Open Sans" w:eastAsia="Open Sans" w:hAnsi="Open Sans"/>
          <w:b/>
          <w:bCs/>
          <w:color w:val="59595B"/>
          <w:sz w:val="22"/>
          <w:szCs w:val="22"/>
        </w:rPr>
      </w:r>
      <w:r>
        <w:rPr>
          <w:rFonts w:ascii="Open Sans" w:cs="Open Sans" w:eastAsia="Open Sans" w:hAnsi="Open Sans"/>
          <w:color w:val="59595B"/>
          <w:sz w:val="22"/>
          <w:szCs w:val="22"/>
        </w:rPr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>I’m Ravi Jain, Founder &amp; CEO of Technijian, an AI strategy and implementation consulting firm based in Irvine, California. I’ve spent 25+ years helping organizations across manufacturing, logistics, financial services, and supply chain operations move from AI curiosity to operational deployment. My approach is practical: identify where AI creates measurable value, design solutions that respect your existing workflows and compliance requirements, then implement and operationalize them.</w:t>
      </w:r>
      <w:r>
        <w:rPr>
          <w:rFonts w:ascii="Open Sans" w:cs="Open Sans" w:eastAsia="Open Sans" w:hAnsi="Open Sans"/>
          <w:color w:val="59595B"/>
          <w:sz w:val="22"/>
          <w:szCs w:val="22"/>
        </w:rPr>
      </w:r>
      <w:r>
        <w:rPr>
          <w:rFonts w:ascii="Open Sans" w:cs="Open Sans" w:eastAsia="Open Sans" w:hAnsi="Open Sans"/>
          <w:color w:val="59595B"/>
          <w:sz w:val="22"/>
          <w:szCs w:val="22"/>
        </w:rPr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>WHY CANUSA HERSHMAN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>Your organization has qualities that make AI adoption both high-impact and low-risk: global trade operations spanning multiple commodities and geographies; ISO-certified quality management systems ensuring consistency and traceability; complex supply chain logistics requiring real-time visibility and coordination; and a trusted reputation that your customers depend on for reliable sourcing and delivery.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>Based on my review of your operations and global trade capabilities, I see several areas where AI can deliver immediate, measurable ROI for Canusa Hershman:</w:t>
      </w:r>
      <w:r>
        <w:rPr>
          <w:rFonts w:ascii="Open Sans" w:cs="Open Sans" w:eastAsia="Open Sans" w:hAnsi="Open Sans"/>
          <w:b/>
          <w:bCs/>
          <w:color w:val="59595B"/>
          <w:sz w:val="22"/>
          <w:szCs w:val="22"/>
        </w:rPr>
      </w:r>
      <w:r>
        <w:rPr>
          <w:rFonts w:ascii="Open Sans" w:cs="Open Sans" w:eastAsia="Open Sans" w:hAnsi="Open Sans"/>
          <w:color w:val="59595B"/>
          <w:sz w:val="22"/>
          <w:szCs w:val="22"/>
        </w:rPr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PROPOSED AI CONSULTING PROJECTS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>AI Readiness Assessment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>Discovery engagement to map current workflows across trading operations, supply chain management, vendor coordination, and compliance documentation — identifying the highest-ROI AI opportunities specific to global commodities trading and recycling.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>Supply Chain Intelligence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>AI-powered demand forecasting, inventory optimization, and logistics routing — analyzing historical trade data, market signals, and shipping patterns to reduce carrying costs and improve delivery reliability.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>Trade Document Automation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>Intelligent processing of bills of lading, customs declarations, certificates of origin, ISO compliance documents, and trade correspondence — reducing manual data entry and accelerating cross-border transactions.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>Commodity Price Analytics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>AI-driven market analysis integrating pricing feeds, historical trends, and macroeconomic indicators to support smarter purchasing decisions, contract timing, and margin optimization.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>Vendor &amp; Customer Intelligence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>AI-powered relationship management analyzing communication patterns, transaction history, credit risk, and market conditions to prioritize high-value opportunities and flag supply chain risks early.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>Executive AI Briefing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>Half-day leadership workshop: global trade AI landscape, live demos tailored to your commodity and recycling operations, and a prioritized roadmap for AI adoption aligned with your strategic goals.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ENGAGEMENT OPTIONS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FIXED-SCOPE PROJECTS</w:t>
            </w:r>
          </w:p>
          <w:p>
            <w:pPr>
              <w:spacing w:before="80"/>
              <w:jc w:val="center"/>
            </w:pPr>
            <w:r>
              <w:rPr>
                <w:rFonts w:ascii="Open Sans" w:cs="Open Sans" w:eastAsia="Open Sans" w:hAnsi="Open Sans"/>
                <w:color w:val="E9ECEF"/>
                <w:sz w:val="18"/>
                <w:szCs w:val="18"/>
              </w:rPr>
              <w:t xml:space="preserve">Defined scope, deliverables, and timeline. Pay for outcomes, not hours. Ideal for the AI Readiness Assessment or Document Intelligence.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FLEXIBLE CONSULTING</w:t>
            </w:r>
          </w:p>
          <w:p>
            <w:pPr>
              <w:spacing w:before="80"/>
              <w:jc w:val="center"/>
            </w:pPr>
            <w:r>
              <w:rPr>
                <w:rFonts w:ascii="Open Sans" w:cs="Open Sans" w:eastAsia="Open Sans" w:hAnsi="Open Sans"/>
                <w:color w:val="E9ECEF"/>
                <w:sz w:val="18"/>
                <w:szCs w:val="18"/>
              </w:rPr>
              <w:t xml:space="preserve">On-demand engagement for ongoing strategic guidance, architecture reviews, and implementation support as needs evolve.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EAAC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FRACTIONAL AI ADVISOR</w:t>
            </w:r>
          </w:p>
          <w:p>
            <w:pPr>
              <w:spacing w:before="80"/>
              <w:jc w:val="center"/>
            </w:pPr>
            <w:r>
              <w:rPr>
                <w:rFonts w:ascii="Open Sans" w:cs="Open Sans" w:eastAsia="Open Sans" w:hAnsi="Open Sans"/>
                <w:color w:val="E9ECEF"/>
                <w:sz w:val="18"/>
                <w:szCs w:val="18"/>
              </w:rPr>
              <w:t xml:space="preserve">Retained monthly engagement providing ongoing AI guidance, vendor evaluation, team enablement, and implementation oversight.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WHY TECHNIJIAN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b/>
          <w:bCs/>
          <w:color w:val="F67D4B"/>
          <w:sz w:val="22"/>
          <w:szCs w:val="22"/>
        </w:rPr>
        <w:t>▸ Global Trade Expertise: Our consulting spans manufacturing, logistics, financial services, and supply chain — industries with the same complexity, compliance, and cross-border coordination challenges Canusa Hershman navigates daily.</w:t>
      </w:r>
      <w:r>
        <w:rPr>
          <w:rFonts w:ascii="Open Sans" w:cs="Open Sans" w:eastAsia="Open Sans" w:hAnsi="Open Sans"/>
          <w:color w:val="59595B"/>
          <w:sz w:val="22"/>
          <w:szCs w:val="22"/>
        </w:rPr>
      </w:r>
    </w:p>
    <w:p>
      <w:pPr>
        <w:spacing w:after="120"/>
      </w:pPr>
      <w:r>
        <w:rPr>
          <w:rFonts w:ascii="Open Sans" w:cs="Open Sans" w:eastAsia="Open Sans" w:hAnsi="Open Sans"/>
          <w:b/>
          <w:bCs/>
          <w:color w:val="F67D4B"/>
          <w:sz w:val="22"/>
          <w:szCs w:val="22"/>
        </w:rPr>
        <w:t>▸ Strategy + Implementation: Unlike pure strategy consultants, we don’t hand you a slide deck and walk away. We architect, build, and operationalize solutions through to production.</w:t>
      </w:r>
      <w:r>
        <w:rPr>
          <w:rFonts w:ascii="Open Sans" w:cs="Open Sans" w:eastAsia="Open Sans" w:hAnsi="Open Sans"/>
          <w:color w:val="59595B"/>
          <w:sz w:val="22"/>
          <w:szCs w:val="22"/>
        </w:rPr>
      </w:r>
    </w:p>
    <w:p>
      <w:pPr>
        <w:spacing w:after="120"/>
      </w:pPr>
      <w:r>
        <w:rPr>
          <w:rFonts w:ascii="Open Sans" w:cs="Open Sans" w:eastAsia="Open Sans" w:hAnsi="Open Sans"/>
          <w:b/>
          <w:bCs/>
          <w:color w:val="F67D4B"/>
          <w:sz w:val="22"/>
          <w:szCs w:val="22"/>
        </w:rPr>
        <w:t>▸ Compliance-First Design: Every solution includes access controls, audit trails, and data governance — critical for ISO-certified operations, international trade regulations, customs compliance, and multi-jurisdictional documentation.</w:t>
      </w:r>
      <w:r>
        <w:rPr>
          <w:rFonts w:ascii="Open Sans" w:cs="Open Sans" w:eastAsia="Open Sans" w:hAnsi="Open Sans"/>
          <w:color w:val="59595B"/>
          <w:sz w:val="22"/>
          <w:szCs w:val="22"/>
        </w:rPr>
      </w:r>
    </w:p>
    <w:p>
      <w:pPr>
        <w:spacing w:after="120"/>
      </w:pPr>
      <w:r>
        <w:rPr>
          <w:rFonts w:ascii="Open Sans" w:cs="Open Sans" w:eastAsia="Open Sans" w:hAnsi="Open Sans"/>
          <w:b/>
          <w:bCs/>
          <w:color w:val="F67D4B"/>
          <w:sz w:val="22"/>
          <w:szCs w:val="22"/>
        </w:rPr>
        <w:t>▸ Proven AI Delivery: We’ve deployed AI document intelligence for FINRA broker-dealers, multi-agent automation platforms, and enterprise-grade LLM workflows — with the same rigor we’d bring to Canusa Hershman.</w:t>
      </w:r>
      <w:r>
        <w:rPr>
          <w:rFonts w:ascii="Open Sans" w:cs="Open Sans" w:eastAsia="Open Sans" w:hAnsi="Open Sans"/>
          <w:color w:val="59595B"/>
          <w:sz w:val="22"/>
          <w:szCs w:val="22"/>
        </w:rPr>
      </w:r>
    </w:p>
    <w:p>
      <w:pPr>
        <w:spacing w:before="20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>I’d welcome the opportunity to schedule a 30-minute introductory call to discuss how AI can strengthen Canusa Hershman’s global trade operations, supply chain efficiency, and competitive positioning. An Executive AI Briefing is a great starting point — or we can begin with a comprehensive AI Readiness Assessment for a deeper, actionable engagement.</w:t>
      </w: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</w:r>
      <w:r>
        <w:rPr>
          <w:rFonts w:ascii="Open Sans" w:cs="Open Sans" w:eastAsia="Open Sans" w:hAnsi="Open Sans"/>
          <w:color w:val="59595B"/>
          <w:sz w:val="22"/>
          <w:szCs w:val="22"/>
        </w:rPr>
      </w: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</w:r>
      <w:r>
        <w:rPr>
          <w:rFonts w:ascii="Open Sans" w:cs="Open Sans" w:eastAsia="Open Sans" w:hAnsi="Open Sans"/>
          <w:color w:val="59595B"/>
          <w:sz w:val="22"/>
          <w:szCs w:val="22"/>
        </w:rPr>
      </w:r>
    </w:p>
    <w:p>
      <w:pPr>
        <w:spacing w:before="100"/>
      </w:pP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Looking forward to the conversation.</w:t>
      </w:r>
    </w:p>
    <w:p>
      <w:pPr>
        <w:spacing w:before="200"/>
      </w:pP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Ravi Jain</w:t>
      </w:r>
    </w:p>
    <w:p>
      <w:r>
        <w:rPr>
          <w:rFonts w:ascii="Open Sans" w:cs="Open Sans" w:eastAsia="Open Sans" w:hAnsi="Open Sans"/>
          <w:color w:val="006DB6"/>
          <w:sz w:val="22"/>
          <w:szCs w:val="22"/>
        </w:rPr>
        <w:t xml:space="preserve">Founder &amp; CEO, Technijian Corporation</w:t>
      </w:r>
    </w:p>
    <w:p>
      <w:r>
        <w:rPr>
          <w:rFonts w:ascii="Open Sans" w:cs="Open Sans" w:eastAsia="Open Sans" w:hAnsi="Open Sans"/>
          <w:color w:val="59595B"/>
          <w:sz w:val="20"/>
          <w:szCs w:val="20"/>
        </w:rPr>
        <w:t xml:space="preserve">AI Strategy &amp; Implementation Consulting</w:t>
      </w:r>
    </w:p>
    <w:p>
      <w:r>
        <w:rPr>
          <w:rFonts w:ascii="Open Sans" w:cs="Open Sans" w:eastAsia="Open Sans" w:hAnsi="Open Sans"/>
          <w:color w:val="59595B"/>
          <w:sz w:val="20"/>
          <w:szCs w:val="20"/>
        </w:rPr>
        <w:t xml:space="preserve">rjain@technijian.com  •  (949) 379-8499 x201  •  technijian.com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67D4B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/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F" w:sz="1" w:space="6"/>
      </w:pBdr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Corporation | 18 Technology Dr., Ste 141, Irvine, CA 92618 | 949.379.8500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B6" w:sz="2" w:space="6"/>
      </w:pBdr>
    </w:pPr>
    <w:r>
      <w:drawing>
        <wp:inline distT="0" distB="0" distL="0" distR="0">
          <wp:extent cx="1333500" cy="276225"/>
          <wp:effectExtent t="0" r="0" b="0" l="0"/>
          <wp:docPr id="1" name="logo" descr="Logo" title="Techniji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611644858f9743ef996d96751599058280f6c15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2026-04-09T16:54:12.063Z</dcterms:created>
  <dcterms:modified xsi:type="dcterms:W3CDTF">2026-04-09T16:54:12.064Z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