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Open Sans" w:hAnsi="Open Sans"/>
          <w:b/>
          <w:color w:val="1A1A2E"/>
          <w:sz w:val="64"/>
        </w:rPr>
        <w:t xml:space="preserve">Nexus </w:t>
      </w:r>
      <w:r>
        <w:rPr>
          <w:rFonts w:ascii="Open Sans" w:hAnsi="Open Sans"/>
          <w:b/>
          <w:color w:val="F67D4B"/>
          <w:sz w:val="64"/>
        </w:rPr>
        <w:t>Assess</w:t>
      </w:r>
    </w:p>
    <w:p>
      <w:r>
        <w:rPr>
          <w:rFonts w:ascii="Open Sans" w:hAnsi="Open Sans"/>
          <w:b/>
          <w:color w:val="1EAAC8"/>
          <w:sz w:val="20"/>
        </w:rPr>
        <w:t>IT RISK &amp; COMPLIANCE PLATFORM</w:t>
      </w:r>
    </w:p>
    <w:p>
      <w:r>
        <w:rPr>
          <w:rFonts w:ascii="Open Sans" w:hAnsi="Open Sans"/>
          <w:i/>
          <w:color w:val="59595B"/>
          <w:sz w:val="24"/>
        </w:rPr>
        <w:t>Automated IT environment scanning, risk scoring, and compliance reporting across your entire infrastructure.</w:t>
      </w:r>
    </w:p>
    <w:p>
      <w:pPr>
        <w:spacing w:before="80" w:after="80"/>
        <w:pBdr>
          <w:bottom w:val="single" w:sz="12" w:space="1" w:color="F67D4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F67D4B"/>
                <w:sz w:val="40"/>
              </w:rPr>
              <w:t>94+</w:t>
              <w:br/>
            </w:r>
            <w:r>
              <w:rPr>
                <w:rFonts w:ascii="Open Sans" w:hAnsi="Open Sans"/>
                <w:color w:val="FFFFFF"/>
                <w:sz w:val="16"/>
              </w:rPr>
              <w:t>Report Types</w:t>
            </w:r>
          </w:p>
        </w:tc>
        <w:tc>
          <w:tcPr>
            <w:tcW w:type="dxa" w:w="2493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F67D4B"/>
                <w:sz w:val="40"/>
              </w:rPr>
              <w:t>3</w:t>
              <w:br/>
            </w:r>
            <w:r>
              <w:rPr>
                <w:rFonts w:ascii="Open Sans" w:hAnsi="Open Sans"/>
                <w:color w:val="FFFFFF"/>
                <w:sz w:val="16"/>
              </w:rPr>
              <w:t>OS Platforms</w:t>
            </w:r>
          </w:p>
        </w:tc>
        <w:tc>
          <w:tcPr>
            <w:tcW w:type="dxa" w:w="2493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F67D4B"/>
                <w:sz w:val="40"/>
              </w:rPr>
              <w:t>24/7</w:t>
              <w:br/>
            </w:r>
            <w:r>
              <w:rPr>
                <w:rFonts w:ascii="Open Sans" w:hAnsi="Open Sans"/>
                <w:color w:val="FFFFFF"/>
                <w:sz w:val="16"/>
              </w:rPr>
              <w:t>Monitoring</w:t>
            </w:r>
          </w:p>
        </w:tc>
        <w:tc>
          <w:tcPr>
            <w:tcW w:type="dxa" w:w="2493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F67D4B"/>
                <w:sz w:val="40"/>
              </w:rPr>
              <w:t>10</w:t>
              <w:br/>
            </w:r>
            <w:r>
              <w:rPr>
                <w:rFonts w:ascii="Open Sans" w:hAnsi="Open Sans"/>
                <w:color w:val="FFFFFF"/>
                <w:sz w:val="16"/>
              </w:rPr>
              <w:t>Frameworks</w:t>
            </w:r>
          </w:p>
        </w:tc>
      </w:tr>
    </w:tbl>
    <w:p/>
    <w:p>
      <w:pPr>
        <w:spacing w:before="80" w:after="80"/>
        <w:pBdr>
          <w:bottom w:val="single" w:sz="12" w:space="1" w:color="1EAAC8"/>
        </w:pBdr>
      </w:pPr>
    </w:p>
    <w:p>
      <w:pPr>
        <w:pStyle w:val="Heading2"/>
      </w:pPr>
      <w:r>
        <w:rPr>
          <w:rFonts w:ascii="Open Sans" w:hAnsi="Open Sans"/>
          <w:color w:val="006DB6"/>
        </w:rPr>
        <w:t>The Problem You're Facing</w:t>
      </w:r>
    </w:p>
    <w:p>
      <w:r>
        <w:rPr>
          <w:rFonts w:ascii="Open Sans" w:hAnsi="Open Sans"/>
          <w:b/>
          <w:color w:val="1A1A2E"/>
          <w:sz w:val="22"/>
        </w:rPr>
        <w:t xml:space="preserve">■ Blind Spots in Hybrid Environments  </w:t>
      </w:r>
      <w:r>
        <w:rPr>
          <w:rFonts w:ascii="Open Sans" w:hAnsi="Open Sans"/>
          <w:color w:val="59595B"/>
          <w:sz w:val="20"/>
        </w:rPr>
        <w:t>Your network spans on-premise, cloud, and remote endpoints — but no single tool sees it all.</w:t>
      </w:r>
    </w:p>
    <w:p>
      <w:r>
        <w:rPr>
          <w:rFonts w:ascii="Open Sans" w:hAnsi="Open Sans"/>
          <w:b/>
          <w:color w:val="1A1A2E"/>
          <w:sz w:val="22"/>
        </w:rPr>
        <w:t xml:space="preserve">■ Manual Audits Drain Resources  </w:t>
      </w:r>
      <w:r>
        <w:rPr>
          <w:rFonts w:ascii="Open Sans" w:hAnsi="Open Sans"/>
          <w:color w:val="59595B"/>
          <w:sz w:val="20"/>
        </w:rPr>
        <w:t>Security assessments take weeks across multiple tools. By the time reports compile, data is stale.</w:t>
      </w:r>
    </w:p>
    <w:p>
      <w:r>
        <w:rPr>
          <w:rFonts w:ascii="Open Sans" w:hAnsi="Open Sans"/>
          <w:b/>
          <w:color w:val="1A1A2E"/>
          <w:sz w:val="22"/>
        </w:rPr>
        <w:t xml:space="preserve">■ Compliance Complexity Multiplies  </w:t>
      </w:r>
      <w:r>
        <w:rPr>
          <w:rFonts w:ascii="Open Sans" w:hAnsi="Open Sans"/>
          <w:color w:val="59595B"/>
          <w:sz w:val="20"/>
        </w:rPr>
        <w:t>HIPAA, SOC 2, PCI-DSS, NIST, CMMC — each demands unique evidence and control mapping.</w:t>
      </w:r>
    </w:p>
    <w:p>
      <w:pPr>
        <w:spacing w:before="80" w:after="80"/>
        <w:pBdr>
          <w:bottom w:val="single" w:sz="12" w:space="1" w:color="006DB6"/>
        </w:pBdr>
      </w:pPr>
    </w:p>
    <w:p>
      <w:pPr>
        <w:pStyle w:val="Heading2"/>
      </w:pPr>
      <w:r>
        <w:rPr>
          <w:rFonts w:ascii="Open Sans" w:hAnsi="Open Sans"/>
          <w:color w:val="006DB6"/>
        </w:rPr>
        <w:t>Core Capabilities</w:t>
      </w:r>
    </w:p>
    <w:p>
      <w:r>
        <w:rPr>
          <w:rFonts w:ascii="Open Sans" w:hAnsi="Open Sans"/>
          <w:b/>
          <w:color w:val="006DB6"/>
          <w:sz w:val="24"/>
        </w:rPr>
        <w:t>🔍 Discovery &amp; Scanning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Non-intrusive scans on Windows, macOS, and Linux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Remote data collectors &amp; lightweight ISAA agents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Automated scheduling with continuous monitoring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SQL Server database security assessments</w:t>
      </w:r>
    </w:p>
    <w:p>
      <w:r>
        <w:rPr>
          <w:rFonts w:ascii="Open Sans" w:hAnsi="Open Sans"/>
          <w:b/>
          <w:color w:val="F67D4B"/>
          <w:sz w:val="24"/>
        </w:rPr>
        <w:t>☁ Cloud &amp; Microsoft 365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M365, Teams, SharePoint, OneDrive &amp; Exchange audits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Azure AD &amp; Active Directory assessments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AWS infrastructure evaluation &amp; config review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Conditional Access Policy gap analysis</w:t>
      </w:r>
    </w:p>
    <w:p>
      <w:r>
        <w:rPr>
          <w:rFonts w:ascii="Open Sans" w:hAnsi="Open Sans"/>
          <w:b/>
          <w:color w:val="1EAAC8"/>
          <w:sz w:val="24"/>
        </w:rPr>
        <w:t>🛡 Risk Intelligence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Dual scoring: proprietary + CVSS + MS Secure Score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Dark web monitoring &amp; credential exposure detection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Vulnerability scanning with CVE correlation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AI-powered executive summaries</w:t>
      </w:r>
    </w:p>
    <w:p>
      <w:r>
        <w:rPr>
          <w:rFonts w:ascii="Open Sans" w:hAnsi="Open Sans"/>
          <w:b/>
          <w:color w:val="1A1A2E"/>
          <w:sz w:val="24"/>
        </w:rPr>
        <w:t>📄 94+ Report Types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Network (32), Security (39), Cloud (13), Compliance (10)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Executive infographics &amp; QBR presentations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Multi-format: DOCX, PDF, XLSX, PPTX, VSDX</w:t>
      </w:r>
    </w:p>
    <w:p>
      <w:pPr>
        <w:spacing w:before="20" w:after="20"/>
      </w:pPr>
      <w:r>
        <w:rPr>
          <w:rFonts w:ascii="Open Sans" w:hAnsi="Open Sans"/>
          <w:color w:val="59595B"/>
          <w:sz w:val="19"/>
        </w:rPr>
        <w:t xml:space="preserve">  ✓ Branded client-facing reports with your logo</w:t>
      </w:r>
    </w:p>
    <w:p>
      <w:pPr>
        <w:spacing w:before="80" w:after="80"/>
        <w:pBdr>
          <w:bottom w:val="single" w:sz="12" w:space="1" w:color="F67D4B"/>
        </w:pBdr>
      </w:pPr>
    </w:p>
    <w:p>
      <w:pPr>
        <w:pStyle w:val="Heading2"/>
      </w:pPr>
      <w:r>
        <w:rPr>
          <w:rFonts w:ascii="Open Sans" w:hAnsi="Open Sans"/>
          <w:color w:val="006DB6"/>
        </w:rPr>
        <w:t>Plans &amp; Pricing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2493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Monthly</w:t>
            </w:r>
          </w:p>
        </w:tc>
        <w:tc>
          <w:tcPr>
            <w:tcW w:type="dxa" w:w="2493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Annual</w:t>
            </w:r>
          </w:p>
        </w:tc>
        <w:tc>
          <w:tcPr>
            <w:tcW w:type="dxa" w:w="2493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2493"/>
          </w:tcPr>
          <w:p>
            <w:r>
              <w:rPr>
                <w:rFonts w:ascii="Open Sans" w:hAnsi="Open Sans"/>
                <w:b/>
                <w:color w:val="1A1A2E"/>
                <w:sz w:val="20"/>
              </w:rPr>
              <w:t>Essentials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$499/mo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$4,990/yr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Up to 50</w:t>
            </w:r>
          </w:p>
        </w:tc>
      </w:tr>
      <w:tr>
        <w:tc>
          <w:tcPr>
            <w:tcW w:type="dxa" w:w="2493"/>
            <w:shd w:fill="EBF5FB"/>
          </w:tcPr>
          <w:p>
            <w:r>
              <w:rPr>
                <w:rFonts w:ascii="Open Sans" w:hAnsi="Open Sans"/>
                <w:b/>
                <w:color w:val="006DB6"/>
                <w:sz w:val="20"/>
              </w:rPr>
              <w:t>Professional</w:t>
            </w:r>
          </w:p>
        </w:tc>
        <w:tc>
          <w:tcPr>
            <w:tcW w:type="dxa" w:w="2493"/>
            <w:shd w:fill="EBF5FB"/>
          </w:tcPr>
          <w:p>
            <w:r>
              <w:rPr>
                <w:rFonts w:ascii="Open Sans" w:hAnsi="Open Sans"/>
                <w:color w:val="59595B"/>
                <w:sz w:val="20"/>
              </w:rPr>
              <w:t>$999/mo</w:t>
            </w:r>
          </w:p>
        </w:tc>
        <w:tc>
          <w:tcPr>
            <w:tcW w:type="dxa" w:w="2493"/>
            <w:shd w:fill="EBF5FB"/>
          </w:tcPr>
          <w:p>
            <w:r>
              <w:rPr>
                <w:rFonts w:ascii="Open Sans" w:hAnsi="Open Sans"/>
                <w:color w:val="59595B"/>
                <w:sz w:val="20"/>
              </w:rPr>
              <w:t>$9,990/yr</w:t>
            </w:r>
          </w:p>
        </w:tc>
        <w:tc>
          <w:tcPr>
            <w:tcW w:type="dxa" w:w="2493"/>
            <w:shd w:fill="EBF5FB"/>
          </w:tcPr>
          <w:p>
            <w:r>
              <w:rPr>
                <w:rFonts w:ascii="Open Sans" w:hAnsi="Open Sans"/>
                <w:color w:val="59595B"/>
                <w:sz w:val="20"/>
              </w:rPr>
              <w:t>Up to 250</w:t>
            </w:r>
          </w:p>
        </w:tc>
      </w:tr>
      <w:tr>
        <w:tc>
          <w:tcPr>
            <w:tcW w:type="dxa" w:w="2493"/>
          </w:tcPr>
          <w:p>
            <w:r>
              <w:rPr>
                <w:rFonts w:ascii="Open Sans" w:hAnsi="Open Sans"/>
                <w:b/>
                <w:color w:val="1A1A2E"/>
                <w:sz w:val="20"/>
              </w:rPr>
              <w:t>Enterprise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$1,999/mo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$19,990/yr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Unlimited</w:t>
            </w:r>
          </w:p>
        </w:tc>
      </w:tr>
      <w:tr>
        <w:tc>
          <w:tcPr>
            <w:tcW w:type="dxa" w:w="2493"/>
          </w:tcPr>
          <w:p>
            <w:r>
              <w:rPr>
                <w:rFonts w:ascii="Open Sans" w:hAnsi="Open Sans"/>
                <w:b/>
                <w:color w:val="1A1A2E"/>
                <w:sz w:val="20"/>
              </w:rPr>
              <w:t>Managed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Custom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Custom</w:t>
            </w:r>
          </w:p>
        </w:tc>
        <w:tc>
          <w:tcPr>
            <w:tcW w:type="dxa" w:w="2493"/>
          </w:tcPr>
          <w:p>
            <w:r>
              <w:rPr>
                <w:rFonts w:ascii="Open Sans" w:hAnsi="Open Sans"/>
                <w:color w:val="59595B"/>
                <w:sz w:val="20"/>
              </w:rPr>
              <w:t>Full service</w:t>
            </w:r>
          </w:p>
        </w:tc>
      </w:tr>
    </w:tbl>
    <w:p>
      <w:r>
        <w:rPr>
          <w:rFonts w:ascii="Open Sans" w:hAnsi="Open Sans"/>
          <w:b/>
          <w:color w:val="1EAAC8"/>
          <w:sz w:val="17"/>
        </w:rPr>
        <w:t>Annual plans save 17% • Professional includes dark web monitoring • 30-day free pilot available</w:t>
      </w:r>
    </w:p>
    <w:p>
      <w:pPr>
        <w:spacing w:before="80" w:after="80"/>
        <w:pBdr>
          <w:bottom w:val="single" w:sz="12" w:space="1" w:color="1EAAC8"/>
        </w:pBdr>
      </w:pPr>
    </w:p>
    <w:p>
      <w:pPr>
        <w:pStyle w:val="Heading2"/>
      </w:pPr>
      <w:r>
        <w:rPr>
          <w:rFonts w:ascii="Open Sans" w:hAnsi="Open Sans"/>
          <w:color w:val="006DB6"/>
        </w:rPr>
        <w:t>Competitive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994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Qualys</w:t>
            </w:r>
          </w:p>
        </w:tc>
        <w:tc>
          <w:tcPr>
            <w:tcW w:type="dxa" w:w="1994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Nessus</w:t>
            </w:r>
          </w:p>
        </w:tc>
        <w:tc>
          <w:tcPr>
            <w:tcW w:type="dxa" w:w="1994"/>
            <w:shd w:fill="1A1A2E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Auvik</w:t>
            </w:r>
          </w:p>
        </w:tc>
        <w:tc>
          <w:tcPr>
            <w:tcW w:type="dxa" w:w="1994"/>
            <w:shd w:fill="006DB6"/>
          </w:tcPr>
          <w:p>
            <w:r>
              <w:rPr>
                <w:rFonts w:ascii="Open Sans" w:hAnsi="Open Sans"/>
                <w:b/>
                <w:color w:val="FFFFFF"/>
                <w:sz w:val="18"/>
              </w:rPr>
              <w:t>Nexus Assess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Agentless scans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✓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✓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M365 auditing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94+ report types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Dark web monitor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Compliance GRC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Add-on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 Built-in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AI exec summaries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PSA integration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Limited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 Full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Multi-format export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PDF only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PDF/CSV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 5 formats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Branded reports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  <w:tr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10 frameworks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1A1A2E"/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Open Sans" w:hAnsi="Open Sans"/>
                <w:color w:val="59595B"/>
                <w:sz w:val="18"/>
              </w:rPr>
              <w:t>—</w:t>
            </w:r>
          </w:p>
        </w:tc>
        <w:tc>
          <w:tcPr>
            <w:tcW w:type="dxa" w:w="1994"/>
            <w:shd w:fill="EBF5FB"/>
          </w:tcPr>
          <w:p>
            <w:r>
              <w:rPr>
                <w:rFonts w:ascii="Open Sans" w:hAnsi="Open Sans"/>
                <w:b/>
                <w:color w:val="1EAAC8"/>
                <w:sz w:val="18"/>
              </w:rPr>
              <w:t>✓</w:t>
            </w:r>
          </w:p>
        </w:tc>
      </w:tr>
    </w:tbl>
    <w:p>
      <w:pPr>
        <w:spacing w:before="80" w:after="80"/>
        <w:pBdr>
          <w:bottom w:val="single" w:sz="12" w:space="1" w:color="CBDB2D"/>
        </w:pBdr>
      </w:pPr>
    </w:p>
    <w:p>
      <w:pPr>
        <w:pStyle w:val="Heading2"/>
      </w:pPr>
      <w:r>
        <w:rPr>
          <w:rFonts w:ascii="Open Sans" w:hAnsi="Open Sans"/>
          <w:color w:val="006DB6"/>
        </w:rPr>
        <w:t>Risk Reduction &amp; ROI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CBDB2D"/>
                <w:sz w:val="44"/>
              </w:rPr>
              <w:t>85%</w:t>
              <w:br/>
            </w:r>
            <w:r>
              <w:rPr>
                <w:rFonts w:ascii="Open Sans" w:hAnsi="Open Sans"/>
                <w:color w:val="FFFFFF"/>
                <w:sz w:val="16"/>
              </w:rPr>
              <w:t>Faster assessments</w:t>
              <w:br/>
              <w:t>(50 endpoints)</w:t>
            </w:r>
          </w:p>
        </w:tc>
        <w:tc>
          <w:tcPr>
            <w:tcW w:type="dxa" w:w="3324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CBDB2D"/>
                <w:sz w:val="44"/>
              </w:rPr>
              <w:t>$4.45M</w:t>
              <w:br/>
            </w:r>
            <w:r>
              <w:rPr>
                <w:rFonts w:ascii="Open Sans" w:hAnsi="Open Sans"/>
                <w:color w:val="FFFFFF"/>
                <w:sz w:val="16"/>
              </w:rPr>
              <w:t>Avg breach cost</w:t>
              <w:br/>
              <w:t>avoided (250 ep)</w:t>
            </w:r>
          </w:p>
        </w:tc>
        <w:tc>
          <w:tcPr>
            <w:tcW w:type="dxa" w:w="3324"/>
            <w:shd w:fill="1A1A2E"/>
          </w:tcPr>
          <w:p>
            <w:pPr>
              <w:jc w:val="center"/>
            </w:pPr>
            <w:r>
              <w:rPr>
                <w:rFonts w:ascii="Open Sans" w:hAnsi="Open Sans"/>
                <w:b/>
                <w:color w:val="CBDB2D"/>
                <w:sz w:val="44"/>
              </w:rPr>
              <w:t>70%</w:t>
              <w:br/>
            </w:r>
            <w:r>
              <w:rPr>
                <w:rFonts w:ascii="Open Sans" w:hAnsi="Open Sans"/>
                <w:color w:val="FFFFFF"/>
                <w:sz w:val="16"/>
              </w:rPr>
              <w:t>Less audit</w:t>
              <w:br/>
              <w:t>prep time</w:t>
            </w:r>
          </w:p>
        </w:tc>
      </w:tr>
    </w:tbl>
    <w:p/>
    <w:p>
      <w:pPr>
        <w:pStyle w:val="Heading2"/>
      </w:pPr>
      <w:r>
        <w:rPr>
          <w:rFonts w:ascii="Open Sans" w:hAnsi="Open Sans"/>
          <w:color w:val="006DB6"/>
        </w:rPr>
        <w:t>Security &amp; Compliance Frameworks</w:t>
      </w:r>
    </w:p>
    <w:p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HIPAA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SOC 2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PCI-DSS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NIST CSF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CIS Controls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GDPR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CMMC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CJIS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FFIEC    </w:t>
      </w:r>
      <w:r>
        <w:rPr>
          <w:rFonts w:ascii="Open Sans" w:hAnsi="Open Sans"/>
          <w:b/>
          <w:color w:val="1EAAC8"/>
          <w:sz w:val="20"/>
        </w:rPr>
        <w:t xml:space="preserve">✓ </w:t>
      </w:r>
      <w:r>
        <w:rPr>
          <w:rFonts w:ascii="Open Sans" w:hAnsi="Open Sans"/>
          <w:b/>
          <w:color w:val="1A1A2E"/>
          <w:sz w:val="20"/>
        </w:rPr>
        <w:t xml:space="preserve">HPH CPGs    </w:t>
      </w:r>
    </w:p>
    <w:p>
      <w:pPr>
        <w:spacing w:before="80" w:after="80"/>
        <w:pBdr>
          <w:bottom w:val="single" w:sz="12" w:space="1" w:color="006DB6"/>
        </w:pBdr>
      </w:pPr>
    </w:p>
    <w:p>
      <w:pPr>
        <w:jc w:val="center"/>
      </w:pPr>
      <w:r>
        <w:rPr>
          <w:rFonts w:ascii="Open Sans" w:hAnsi="Open Sans"/>
          <w:b/>
          <w:color w:val="006DB6"/>
          <w:sz w:val="36"/>
        </w:rPr>
        <w:t>See Your Risk Posture in Minutes</w:t>
      </w:r>
    </w:p>
    <w:p>
      <w:pPr>
        <w:jc w:val="center"/>
      </w:pPr>
      <w:r>
        <w:rPr>
          <w:rFonts w:ascii="Open Sans" w:hAnsi="Open Sans"/>
          <w:color w:val="59595B"/>
          <w:sz w:val="22"/>
        </w:rPr>
        <w:t xml:space="preserve">Schedule a Demo: </w:t>
      </w:r>
      <w:r>
        <w:rPr>
          <w:rFonts w:ascii="Open Sans" w:hAnsi="Open Sans"/>
          <w:b/>
          <w:color w:val="006DB6"/>
          <w:sz w:val="22"/>
        </w:rPr>
        <w:t>RJain@technijian.com</w:t>
      </w:r>
      <w:r>
        <w:rPr>
          <w:rFonts w:ascii="Open Sans" w:hAnsi="Open Sans"/>
          <w:color w:val="59595B"/>
          <w:sz w:val="22"/>
        </w:rPr>
        <w:t xml:space="preserve">  |  </w:t>
      </w:r>
      <w:r>
        <w:rPr>
          <w:rFonts w:ascii="Open Sans" w:hAnsi="Open Sans"/>
          <w:b/>
          <w:color w:val="006DB6"/>
          <w:sz w:val="22"/>
        </w:rPr>
        <w:t>949.379.8500</w:t>
      </w:r>
    </w:p>
    <w:p>
      <w:pPr>
        <w:jc w:val="center"/>
      </w:pPr>
      <w:r>
        <w:rPr>
          <w:rFonts w:ascii="Open Sans" w:hAnsi="Open Sans"/>
          <w:color w:val="59595B"/>
          <w:sz w:val="16"/>
        </w:rPr>
        <w:t>© 2026 Technijian • 18 Technology Dr. Ste 141, Irvine CA 92618 • technijian.com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