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200"/>
            </w:pPr>
            <w:r>
              <w:t xml:space="preserve"/>
            </w:r>
          </w:p>
        </w:tc>
      </w:tr>
    </w:tbl>
    <w:p>
      <w:pPr>
        <w:spacing w:after="0" w:before="500"/>
      </w:pPr>
      <w:r>
        <w:t xml:space="preserve"/>
      </w:r>
    </w:p>
    <w:p>
      <w:pPr>
        <w:jc w:val="center"/>
      </w:pPr>
      <w:r>
        <w:drawing>
          <wp:inline distT="0" distB="0" distL="0" distR="0">
            <wp:extent cx="2286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476250"/>
                    </a:xfrm>
                    <a:prstGeom prst="rect">
                      <a:avLst/>
                    </a:prstGeom>
                  </pic:spPr>
                </pic:pic>
              </a:graphicData>
            </a:graphic>
          </wp:inline>
        </w:drawing>
      </w:r>
    </w:p>
    <w:p>
      <w:pPr>
        <w:spacing w:after="0" w:before="300"/>
      </w:pPr>
      <w:r>
        <w:t xml:space="preserve"/>
      </w:r>
    </w:p>
    <w:p>
      <w:pPr>
        <w:spacing w:after="40"/>
        <w:jc w:val="center"/>
      </w:pPr>
      <w:r>
        <w:rPr>
          <w:rFonts w:ascii="Open Sans" w:cs="Open Sans" w:eastAsia="Open Sans" w:hAnsi="Open Sans"/>
          <w:b/>
          <w:bCs/>
          <w:color w:val="1A1A2E"/>
          <w:sz w:val="44"/>
          <w:szCs w:val="44"/>
        </w:rPr>
        <w:t xml:space="preserve">ACUITY ADVISORS</w:t>
      </w:r>
    </w:p>
    <w:p>
      <w:pPr>
        <w:spacing w:after="40"/>
        <w:jc w:val="center"/>
      </w:pPr>
      <w:r>
        <w:rPr>
          <w:rFonts w:ascii="Open Sans" w:cs="Open Sans" w:eastAsia="Open Sans" w:hAnsi="Open Sans"/>
          <w:color w:val="006DB6"/>
          <w:sz w:val="25"/>
          <w:szCs w:val="25"/>
        </w:rPr>
        <w:t xml:space="preserve">AI Growth &amp; Integration Strategy  —  Executive Summary</w:t>
      </w:r>
    </w:p>
    <w:p>
      <w:pPr>
        <w:spacing w:after="120"/>
        <w:jc w:val="center"/>
      </w:pPr>
      <w:r>
        <w:rPr>
          <w:rFonts w:ascii="Open Sans" w:cs="Open Sans" w:eastAsia="Open Sans" w:hAnsi="Open Sans"/>
          <w:color w:val="59595B"/>
          <w:sz w:val="19"/>
          <w:szCs w:val="19"/>
        </w:rPr>
        <w:t xml:space="preserve">Prepared by Technijian  |  2026-06-02  |  Santa Ana, California  |  acuityadvisors.com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7D4B" w:val="clear"/>
          </w:tcPr>
          <w:p>
            <w:pPr>
              <w:spacing w:after="0" w:before="60"/>
            </w:pPr>
            <w:r>
              <w:t xml:space="preserve"/>
            </w:r>
          </w:p>
        </w:tc>
      </w:tr>
    </w:tbl>
    <w:p>
      <w:pPr>
        <w:spacing w:after="0" w:before="2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80"/>
              <w:bottom w:type="dxa" w:w="200"/>
              <w:right w:type="dxa" w:w="80"/>
            </w:tcMar>
            <w:vAlign w:val="center"/>
          </w:tcPr>
          <w:p>
            <w:pPr>
              <w:spacing w:after="40"/>
              <w:jc w:val="center"/>
            </w:pPr>
            <w:r>
              <w:rPr>
                <w:rFonts w:ascii="Open Sans" w:cs="Open Sans" w:eastAsia="Open Sans" w:hAnsi="Open Sans"/>
                <w:b/>
                <w:bCs/>
                <w:color w:val="006DB6"/>
                <w:sz w:val="38"/>
                <w:szCs w:val="38"/>
              </w:rPr>
              <w:t xml:space="preserve">1989</w:t>
            </w:r>
          </w:p>
          <w:p>
            <w:pPr>
              <w:jc w:val="center"/>
            </w:pPr>
            <w:r>
              <w:rPr>
                <w:rFonts w:ascii="Open Sans" w:cs="Open Sans" w:eastAsia="Open Sans" w:hAnsi="Open Sans"/>
                <w:color w:val="59595B"/>
                <w:sz w:val="16"/>
                <w:szCs w:val="16"/>
              </w:rPr>
              <w:t xml:space="preserve">Advising Since</w:t>
            </w:r>
          </w:p>
        </w:tc>
        <w:tc>
          <w:tcPr>
            <w:tcW w:type="dxa" w:w="2340"/>
            <w:tcBorders>
              <w:top w:val="none" w:color="FFFFFF" w:sz="0"/>
              <w:left w:val="none" w:color="FFFFFF" w:sz="0"/>
              <w:bottom w:val="none" w:color="FFFFFF" w:sz="0"/>
              <w:right w:val="none" w:color="FFFFFF" w:sz="0"/>
            </w:tcBorders>
            <w:shd w:fill="F8F9FA" w:val="clear"/>
            <w:tcMar>
              <w:top w:type="dxa" w:w="200"/>
              <w:left w:type="dxa" w:w="80"/>
              <w:bottom w:type="dxa" w:w="200"/>
              <w:right w:type="dxa" w:w="80"/>
            </w:tcMar>
            <w:vAlign w:val="center"/>
          </w:tcPr>
          <w:p>
            <w:pPr>
              <w:spacing w:after="40"/>
              <w:jc w:val="center"/>
            </w:pPr>
            <w:r>
              <w:rPr>
                <w:rFonts w:ascii="Open Sans" w:cs="Open Sans" w:eastAsia="Open Sans" w:hAnsi="Open Sans"/>
                <w:b/>
                <w:bCs/>
                <w:color w:val="F67D4B"/>
                <w:sz w:val="38"/>
                <w:szCs w:val="38"/>
              </w:rPr>
              <w:t xml:space="preserve">West Coast</w:t>
            </w:r>
          </w:p>
          <w:p>
            <w:pPr>
              <w:jc w:val="center"/>
            </w:pPr>
            <w:r>
              <w:rPr>
                <w:rFonts w:ascii="Open Sans" w:cs="Open Sans" w:eastAsia="Open Sans" w:hAnsi="Open Sans"/>
                <w:color w:val="59595B"/>
                <w:sz w:val="16"/>
                <w:szCs w:val="16"/>
              </w:rPr>
              <w:t xml:space="preserve">Largest ESOP Practice</w:t>
            </w:r>
          </w:p>
        </w:tc>
        <w:tc>
          <w:tcPr>
            <w:tcW w:type="dxa" w:w="2340"/>
            <w:tcBorders>
              <w:top w:val="none" w:color="FFFFFF" w:sz="0"/>
              <w:left w:val="none" w:color="FFFFFF" w:sz="0"/>
              <w:bottom w:val="none" w:color="FFFFFF" w:sz="0"/>
              <w:right w:val="none" w:color="FFFFFF" w:sz="0"/>
            </w:tcBorders>
            <w:shd w:fill="F8F9FA" w:val="clear"/>
            <w:tcMar>
              <w:top w:type="dxa" w:w="200"/>
              <w:left w:type="dxa" w:w="80"/>
              <w:bottom w:type="dxa" w:w="200"/>
              <w:right w:type="dxa" w:w="80"/>
            </w:tcMar>
            <w:vAlign w:val="center"/>
          </w:tcPr>
          <w:p>
            <w:pPr>
              <w:spacing w:after="40"/>
              <w:jc w:val="center"/>
            </w:pPr>
            <w:r>
              <w:rPr>
                <w:rFonts w:ascii="Open Sans" w:cs="Open Sans" w:eastAsia="Open Sans" w:hAnsi="Open Sans"/>
                <w:b/>
                <w:bCs/>
                <w:color w:val="1EAAC8"/>
                <w:sz w:val="38"/>
                <w:szCs w:val="38"/>
              </w:rPr>
              <w:t xml:space="preserve">M&amp;S</w:t>
            </w:r>
          </w:p>
          <w:p>
            <w:pPr>
              <w:jc w:val="center"/>
            </w:pPr>
            <w:r>
              <w:rPr>
                <w:rFonts w:ascii="Open Sans" w:cs="Open Sans" w:eastAsia="Open Sans" w:hAnsi="Open Sans"/>
                <w:color w:val="59595B"/>
                <w:sz w:val="16"/>
                <w:szCs w:val="16"/>
              </w:rPr>
              <w:t xml:space="preserve">Backed (2024)</w:t>
            </w:r>
          </w:p>
        </w:tc>
        <w:tc>
          <w:tcPr>
            <w:tcW w:type="dxa" w:w="2340"/>
            <w:tcBorders>
              <w:top w:val="none" w:color="FFFFFF" w:sz="0"/>
              <w:left w:val="none" w:color="FFFFFF" w:sz="0"/>
              <w:bottom w:val="none" w:color="FFFFFF" w:sz="0"/>
              <w:right w:val="none" w:color="FFFFFF" w:sz="0"/>
            </w:tcBorders>
            <w:shd w:fill="F8F9FA" w:val="clear"/>
            <w:tcMar>
              <w:top w:type="dxa" w:w="200"/>
              <w:left w:type="dxa" w:w="80"/>
              <w:bottom w:type="dxa" w:w="200"/>
              <w:right w:type="dxa" w:w="80"/>
            </w:tcMar>
            <w:vAlign w:val="center"/>
          </w:tcPr>
          <w:p>
            <w:pPr>
              <w:spacing w:after="40"/>
              <w:jc w:val="center"/>
            </w:pPr>
            <w:r>
              <w:rPr>
                <w:rFonts w:ascii="Open Sans" w:cs="Open Sans" w:eastAsia="Open Sans" w:hAnsi="Open Sans"/>
                <w:b/>
                <w:bCs/>
                <w:color w:val="1A1A2E"/>
                <w:sz w:val="38"/>
                <w:szCs w:val="38"/>
              </w:rPr>
              <w:t xml:space="preserve">CFA·ASA</w:t>
            </w:r>
          </w:p>
          <w:p>
            <w:pPr>
              <w:jc w:val="center"/>
            </w:pPr>
            <w:r>
              <w:rPr>
                <w:rFonts w:ascii="Open Sans" w:cs="Open Sans" w:eastAsia="Open Sans" w:hAnsi="Open Sans"/>
                <w:color w:val="59595B"/>
                <w:sz w:val="16"/>
                <w:szCs w:val="16"/>
              </w:rPr>
              <w:t xml:space="preserve">Credentialed Team</w:t>
            </w:r>
          </w:p>
        </w:tc>
      </w:tr>
    </w:tbl>
    <w:p>
      <w:pPr>
        <w:spacing w:after="0" w:before="26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already runs and secures Acuity’s environment — the managed IT, endpoint defense, and Microsoft 365 hardening a confidential advisory firm depends on. This is the next layer: turning a relationship built on trust and security into a growth engine, built inside the perimeter we already protect. For an M&amp;A and ESOP firm, security is the precondition for using AI at all — and it is the firm’s advantage, not its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Core Opportunity</w:t>
            </w:r>
          </w:p>
          <w:p>
            <w:pPr>
              <w:keepNext/>
              <w:keepLines/>
              <w:spacing w:after="60" w:before="40" w:line="300"/>
            </w:pPr>
            <w:r>
              <w:rPr>
                <w:rFonts w:ascii="Open Sans" w:cs="Open Sans" w:eastAsia="Open Sans" w:hAnsi="Open Sans"/>
                <w:color w:val="59595B"/>
                <w:sz w:val="20"/>
                <w:szCs w:val="20"/>
              </w:rPr>
              <w:t xml:space="preserve">Own the answer no one has claimed — the entire category is answer-engine-blind; the owner-education and "M&amp;A vs. ESOP vs. family" decisions owners research first are unowned by the deal banks, and Acuity uniquely does both.</w:t>
            </w:r>
          </w:p>
          <w:p>
            <w:pPr>
              <w:keepNext/>
              <w:keepLines/>
              <w:spacing w:after="60" w:before="40" w:line="300"/>
            </w:pPr>
            <w:r>
              <w:rPr>
                <w:rFonts w:ascii="Open Sans" w:cs="Open Sans" w:eastAsia="Open Sans" w:hAnsi="Open Sans"/>
                <w:color w:val="59595B"/>
                <w:sz w:val="20"/>
                <w:szCs w:val="20"/>
              </w:rPr>
              <w:t xml:space="preserve">Turn thirty-five years into a visible asset — a credentialed, Marshall &amp; Stevens-backed, West-Coast-leading ESOP practice whose real proof is un-merchandised online.</w:t>
            </w:r>
          </w:p>
          <w:p>
            <w:pPr>
              <w:keepNext w:val="false"/>
              <w:keepLines/>
              <w:spacing w:after="60" w:before="40" w:line="300"/>
            </w:pPr>
            <w:r>
              <w:rPr>
                <w:rFonts w:ascii="Open Sans" w:cs="Open Sans" w:eastAsia="Open Sans" w:hAnsi="Open Sans"/>
                <w:color w:val="59595B"/>
                <w:sz w:val="20"/>
                <w:szCs w:val="20"/>
              </w:rPr>
              <w:t xml:space="preserve">Build AI where it is safe — because Technijian secures the perimeter, the deal-preparation and knowledge AI lives inside it, not in a public chatbot. That confidentiality boundary is the differentiator.</w:t>
            </w:r>
          </w:p>
        </w:tc>
      </w:tr>
    </w:tbl>
    <w:p>
      <w:r>
        <w:br w:type="page"/>
      </w:r>
    </w:p>
    <w:p>
      <w:pPr>
        <w:pStyle w:val="Heading1"/>
        <w:keepNext/>
        <w:spacing w:after="120" w:before="360" w:line="240"/>
      </w:pPr>
      <w:r>
        <w:rPr>
          <w:rFonts w:ascii="Open Sans" w:cs="Open Sans" w:eastAsia="Open Sans" w:hAnsi="Open Sans"/>
          <w:color w:val="FFFFFF"/>
          <w:sz w:val="2"/>
          <w:szCs w:val="2"/>
        </w:rPr>
        <w:t xml:space="preserve">The Opportunity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2"/>
                <w:szCs w:val="32"/>
              </w:rPr>
              <w:t xml:space="preserve">The Opportunity</w:t>
            </w:r>
          </w:p>
        </w:tc>
      </w:tr>
    </w:tbl>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Three forces converge in Acuity’s favor: a demographic wave of owners who must transition, an ESOP tailwind that rewards the credentialed, and a moment when both owners and AI engines decide credibility online.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744"/>
        <w:gridCol w:w="3183"/>
      </w:tblGrid>
      <w:tr>
        <w:trPr>
          <w:cantSplit/>
          <w:tblHeader/>
        </w:trPr>
        <w:tc>
          <w:tcPr>
            <w:tcW w:type="dxa" w:w="243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Force</w:t>
            </w:r>
          </w:p>
        </w:tc>
        <w:tc>
          <w:tcPr>
            <w:tcW w:type="dxa" w:w="374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What’s Happening</w:t>
            </w:r>
          </w:p>
        </w:tc>
        <w:tc>
          <w:tcPr>
            <w:tcW w:type="dxa" w:w="3183"/>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Means for Acuity</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succession wave</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~2.9M U.S. businesses owned by people 55+; ~73% plan a transition within a decade</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Structural, rising demand — the authority owners trust wins the early conversation</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planning gap</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Only ~19% of boomer owners have started planning; only 20–30% of marketed businesses sell</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Acuity sells preparedness and execution into the gap</w:t>
            </w:r>
          </w:p>
        </w:tc>
      </w:tr>
      <w:tr>
        <w:trPr>
          <w:cantSplit/>
        </w:trPr>
        <w:tc>
          <w:tcPr>
            <w:tcW w:type="dxa" w:w="243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ESOP tailwinds</w:t>
            </w:r>
          </w:p>
        </w:tc>
        <w:tc>
          <w:tcPr>
            <w:tcW w:type="dxa" w:w="374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~6,600 ESOPs, $2T+ assets; the WORK Act and 2025 legislation favor employee ownership</w:t>
            </w:r>
          </w:p>
        </w:tc>
        <w:tc>
          <w:tcPr>
            <w:tcW w:type="dxa" w:w="3183"/>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West Coast’s largest ESOP practice is positioned for it</w:t>
            </w:r>
          </w:p>
        </w:tc>
      </w:tr>
      <w:tr>
        <w:trPr>
          <w:cantSplit/>
        </w:trPr>
        <w:tc>
          <w:tcPr>
            <w:tcW w:type="dxa" w:w="243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Owners decide online</w:t>
            </w:r>
          </w:p>
        </w:tc>
        <w:tc>
          <w:tcPr>
            <w:tcW w:type="dxa" w:w="374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They research "ESOP," "sell my business," "valuation" first — and the category is answer-engine-blind</w:t>
            </w:r>
          </w:p>
        </w:tc>
        <w:tc>
          <w:tcPr>
            <w:tcW w:type="dxa" w:w="3183"/>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First mover owns the cited authority no deal bank has claimed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Why Acuity Wins This</w:t>
            </w:r>
          </w:p>
          <w:p>
            <w:pPr>
              <w:keepNext/>
              <w:keepLines/>
              <w:spacing w:after="60" w:before="40" w:line="300"/>
            </w:pPr>
            <w:r>
              <w:rPr>
                <w:rFonts w:ascii="Open Sans" w:cs="Open Sans" w:eastAsia="Open Sans" w:hAnsi="Open Sans"/>
                <w:color w:val="59595B"/>
                <w:sz w:val="20"/>
                <w:szCs w:val="20"/>
              </w:rPr>
              <w:t xml:space="preserve">The moat is real: CFA/ASA credentials, the West Coast’s largest ESOP practice, a Marshall &amp; Stevens platform, and a thirty-five-year track record — hard to replicate, simply uncaptured online.</w:t>
            </w:r>
          </w:p>
          <w:p>
            <w:pPr>
              <w:keepNext w:val="false"/>
              <w:keepLines/>
              <w:spacing w:after="60" w:before="40" w:line="300"/>
            </w:pPr>
            <w:r>
              <w:rPr>
                <w:rFonts w:ascii="Open Sans" w:cs="Open Sans" w:eastAsia="Open Sans" w:hAnsi="Open Sans"/>
                <w:color w:val="59595B"/>
                <w:sz w:val="20"/>
                <w:szCs w:val="20"/>
              </w:rPr>
              <w:t xml:space="preserve">The foundation already exists: because Technijian secures the environment, the program compounds a relationship in place rather than starting over.</w:t>
            </w:r>
          </w:p>
        </w:tc>
      </w:tr>
    </w:tbl>
    <w:p>
      <w:r>
        <w:br w:type="page"/>
      </w:r>
    </w:p>
    <w:p>
      <w:pPr>
        <w:pStyle w:val="Heading1"/>
        <w:keepNext/>
        <w:spacing w:after="120" w:before="360" w:line="240"/>
      </w:pPr>
      <w:r>
        <w:rPr>
          <w:rFonts w:ascii="Open Sans" w:cs="Open Sans" w:eastAsia="Open Sans" w:hAnsi="Open Sans"/>
          <w:color w:val="FFFFFF"/>
          <w:sz w:val="2"/>
          <w:szCs w:val="2"/>
        </w:rPr>
        <w:t xml:space="preserve">How AI Grows Acuity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2"/>
                <w:szCs w:val="32"/>
              </w:rPr>
              <w:t xml:space="preserve">How AI Grows Acuity</w:t>
            </w:r>
          </w:p>
        </w:tc>
      </w:tr>
    </w:tbl>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engine runs three motions at once — get cited (own the owner-education and decision content that earns authority), win the referral and the owner (intelligence on the advisors who send deals and the owners showing signals), and run leaner and remember (secure, in-perimeter deal-prep AI and a thirty-five-year knowledge system). Every part builds on the security foundation Technijian already runs — and respects the boundary that protects the firm.</w:t>
      </w:r>
    </w:p>
    <w:p>
      <w:pPr>
        <w:spacing w:after="0" w:before="120"/>
      </w:pPr>
      <w:r>
        <w:t xml:space="preserve"/>
      </w:r>
    </w:p>
    <w:p>
      <w:pPr>
        <w:spacing w:after="80" w:before="120"/>
        <w:jc w:val="center"/>
      </w:pPr>
      <w:r>
        <w:drawing>
          <wp:inline distT="0" distB="0" distL="0" distR="0">
            <wp:extent cx="5715000" cy="3552825"/>
            <wp:effectExtent t="0" r="0" b="0" l="0"/>
            <wp:docPr id="1" name="Acuity AI Engine" descr="Acuity AI Engine" title="Acuity AI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52825"/>
                    </a:xfrm>
                    <a:prstGeom prst="rect">
                      <a:avLst/>
                    </a:prstGeom>
                  </pic:spPr>
                </pic:pic>
              </a:graphicData>
            </a:graphic>
          </wp:inline>
        </w:drawing>
      </w:r>
    </w:p>
    <w:p>
      <w:pPr>
        <w:spacing w:after="200"/>
        <w:jc w:val="center"/>
      </w:pPr>
      <w:r>
        <w:rPr>
          <w:rFonts w:ascii="Open Sans" w:cs="Open Sans" w:eastAsia="Open Sans" w:hAnsi="Open Sans"/>
          <w:i/>
          <w:iCs/>
          <w:color w:val="59595B"/>
          <w:sz w:val="18"/>
          <w:szCs w:val="18"/>
        </w:rPr>
        <w:t xml:space="preserve">The Engine: Get Cited, Win the Referral &amp; Owner, and Run Leaner &amp; Remember</w:t>
      </w:r>
    </w:p>
    <w:p>
      <w:r>
        <w:br w:type="page"/>
      </w:r>
    </w:p>
    <w:p>
      <w:pPr>
        <w:pStyle w:val="Heading1"/>
        <w:keepNext/>
        <w:spacing w:after="120" w:before="360" w:line="240"/>
      </w:pPr>
      <w:r>
        <w:rPr>
          <w:rFonts w:ascii="Open Sans" w:cs="Open Sans" w:eastAsia="Open Sans" w:hAnsi="Open Sans"/>
          <w:color w:val="FFFFFF"/>
          <w:sz w:val="2"/>
          <w:szCs w:val="2"/>
        </w:rPr>
        <w:t xml:space="preserve">The Three Motions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2"/>
                <w:szCs w:val="32"/>
              </w:rPr>
              <w:t xml:space="preserve">The Three Motions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1 — Get Cited</w:t>
            </w:r>
          </w:p>
          <w:p>
            <w:pPr>
              <w:keepNext w:val="false"/>
              <w:keepLines/>
              <w:spacing w:after="60" w:before="40" w:line="300"/>
            </w:pPr>
            <w:r>
              <w:rPr>
                <w:rFonts w:ascii="Open Sans" w:cs="Open Sans" w:eastAsia="Open Sans" w:hAnsi="Open Sans"/>
                <w:color w:val="59595B"/>
                <w:sz w:val="20"/>
                <w:szCs w:val="20"/>
              </w:rPr>
              <w:t xml:space="preserve">Own "what is an ESOP," "ESOP vs. selling," and "business valuation" in Google and AI answers; publish the "M&amp;A vs. ESOP vs. family" decision content only Acuity can own; and merchandise thirty-five years of track record into searchable proof. The whole category is answer-engine-blind — first mover earns compounding, credible authority.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2 — Win the Referral &amp; the Owner</w:t>
            </w:r>
          </w:p>
          <w:p>
            <w:pPr>
              <w:keepNext w:val="false"/>
              <w:keepLines/>
              <w:spacing w:after="60" w:before="40" w:line="300"/>
            </w:pPr>
            <w:r>
              <w:rPr>
                <w:rFonts w:ascii="Open Sans" w:cs="Open Sans" w:eastAsia="Open Sans" w:hAnsi="Open Sans"/>
                <w:color w:val="59595B"/>
                <w:sz w:val="20"/>
                <w:szCs w:val="20"/>
              </w:rPr>
              <w:t xml:space="preserve">Map and nurture the CPAs, attorneys, and wealth advisors who send the deals — the #1 acquisition channel — and flag owners showing transition signals for the partners. Account-based and relationship-led: AI supports the introduction, it does not manufacture volume.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3 — Run Leaner &amp; Remember</w:t>
            </w:r>
          </w:p>
          <w:p>
            <w:pPr>
              <w:keepNext w:val="false"/>
              <w:keepLines/>
              <w:spacing w:after="60" w:before="40" w:line="300"/>
            </w:pPr>
            <w:r>
              <w:rPr>
                <w:rFonts w:ascii="Open Sans" w:cs="Open Sans" w:eastAsia="Open Sans" w:hAnsi="Open Sans"/>
                <w:color w:val="59595B"/>
                <w:sz w:val="20"/>
                <w:szCs w:val="20"/>
              </w:rPr>
              <w:t xml:space="preserve">Secure, in-perimeter AI that speeds CIMs, teasers, proposals, and diligence, and turns thirty-five years of deals into matched precedents — raising the engagements each credentialed professional can carry.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Boundary Is the Differentiator</w:t>
            </w:r>
          </w:p>
          <w:p>
            <w:pPr>
              <w:keepNext w:val="false"/>
              <w:keepLines/>
              <w:spacing w:after="60" w:before="40" w:line="300"/>
            </w:pPr>
            <w:r>
              <w:rPr>
                <w:rFonts w:ascii="Open Sans" w:cs="Open Sans" w:eastAsia="Open Sans" w:hAnsi="Open Sans"/>
                <w:color w:val="59595B"/>
                <w:sz w:val="20"/>
                <w:szCs w:val="20"/>
              </w:rPr>
              <w:t xml:space="preserve">AI assists; the CFA/ASA professional signs every valuation and opinion; confidential deal data never touches public AI. A confidential firm cannot use the public-AI shortcut its peers reach for — so the firm that builds AI safely, inside its perimeter, gains an advantage that is hard to copy. Technijian already secures that perimeter.</w:t>
            </w:r>
          </w:p>
        </w:tc>
      </w:tr>
    </w:tbl>
    <w:p>
      <w:r>
        <w:br w:type="page"/>
      </w:r>
    </w:p>
    <w:p>
      <w:pPr>
        <w:pStyle w:val="Heading1"/>
        <w:keepNext/>
        <w:spacing w:after="120" w:before="360" w:line="240"/>
      </w:pPr>
      <w:r>
        <w:rPr>
          <w:rFonts w:ascii="Open Sans" w:cs="Open Sans" w:eastAsia="Open Sans" w:hAnsi="Open Sans"/>
          <w:color w:val="FFFFFF"/>
          <w:sz w:val="2"/>
          <w:szCs w:val="2"/>
        </w:rPr>
        <w:t xml:space="preserve">The Program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2"/>
                <w:szCs w:val="32"/>
              </w:rPr>
              <w:t xml:space="preserve">The Program</w:t>
            </w:r>
          </w:p>
        </w:tc>
      </w:tr>
    </w:tbl>
    <w:p>
      <w:pPr>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Acuity’s managed IT and security are already in place — this adds the growth layer on top. The entry program uses real published Technijian rates and makes the firm’s authority visible; the secure deal-prep build comes later, once the entry proves the lift. No invented numbers.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7"/>
        <w:gridCol w:w="3982"/>
        <w:gridCol w:w="2391"/>
      </w:tblGrid>
      <w:tr>
        <w:trPr>
          <w:cantSplit/>
          <w:tblHeader/>
        </w:trPr>
        <w:tc>
          <w:tcPr>
            <w:tcW w:type="dxa" w:w="2987"/>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Entry Program</w:t>
            </w:r>
          </w:p>
        </w:tc>
        <w:tc>
          <w:tcPr>
            <w:tcW w:type="dxa" w:w="398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What It Does</w:t>
            </w:r>
          </w:p>
        </w:tc>
        <w:tc>
          <w:tcPr>
            <w:tcW w:type="dxa" w:w="2391"/>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Investment</w:t>
            </w:r>
          </w:p>
        </w:tc>
      </w:tr>
      <w:tr>
        <w:trPr>
          <w:cantSplit/>
        </w:trPr>
        <w:tc>
          <w:tcPr>
            <w:tcW w:type="dxa" w:w="2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Managed IT + Cybersecurity</w:t>
            </w:r>
          </w:p>
        </w:tc>
        <w:tc>
          <w:tcPr>
            <w:tcW w:type="dxa" w:w="39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The secure foundation the growth program builds inside</w:t>
            </w:r>
          </w:p>
        </w:tc>
        <w:tc>
          <w:tcPr>
            <w:tcW w:type="dxa" w:w="23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28A745"/>
                <w:sz w:val="20"/>
                <w:szCs w:val="20"/>
              </w:rPr>
              <w:t xml:space="preserve">In place</w:t>
            </w:r>
          </w:p>
        </w:tc>
      </w:tr>
      <w:tr>
        <w:trPr>
          <w:cantSplit/>
        </w:trPr>
        <w:tc>
          <w:tcPr>
            <w:tcW w:type="dxa" w:w="2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Answer-Engine, Owner Education &amp; Local</w:t>
            </w:r>
          </w:p>
        </w:tc>
        <w:tc>
          <w:tcPr>
            <w:tcW w:type="dxa" w:w="39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AEO + decision hub + proof scoreboard + local content (new for Acuity)</w:t>
            </w:r>
          </w:p>
        </w:tc>
        <w:tc>
          <w:tcPr>
            <w:tcW w:type="dxa" w:w="239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006DB6"/>
                <w:sz w:val="20"/>
                <w:szCs w:val="20"/>
              </w:rPr>
              <w:t xml:space="preserve">$500–$1,500/mo*</w:t>
            </w:r>
          </w:p>
        </w:tc>
      </w:tr>
      <w:tr>
        <w:trPr>
          <w:cantSplit/>
        </w:trPr>
        <w:tc>
          <w:tcPr>
            <w:tcW w:type="dxa" w:w="2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 Referral &amp; Account Intelligence (Starter)</w:t>
            </w:r>
          </w:p>
        </w:tc>
        <w:tc>
          <w:tcPr>
            <w:tcW w:type="dxa" w:w="39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COI intelligence + owner transition signals; relationship-led</w:t>
            </w:r>
          </w:p>
        </w:tc>
        <w:tc>
          <w:tcPr>
            <w:tcW w:type="dxa" w:w="23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006DB6"/>
                <w:sz w:val="20"/>
                <w:szCs w:val="20"/>
              </w:rPr>
              <w:t xml:space="preserve">$1,499/mo* + $2,500 setup</w:t>
            </w:r>
          </w:p>
        </w:tc>
      </w:tr>
      <w:tr>
        <w:trPr>
          <w:cantSplit/>
        </w:trPr>
        <w:tc>
          <w:tcPr>
            <w:tcW w:type="dxa" w:w="2987"/>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Readiness Workshop + Content Engine</w:t>
            </w:r>
          </w:p>
        </w:tc>
        <w:tc>
          <w:tcPr>
            <w:tcW w:type="dxa" w:w="398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Leadership alignment, the boundary, and the content engine</w:t>
            </w:r>
          </w:p>
        </w:tc>
        <w:tc>
          <w:tcPr>
            <w:tcW w:type="dxa" w:w="2391"/>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F67D4B"/>
                <w:sz w:val="20"/>
                <w:szCs w:val="20"/>
              </w:rPr>
              <w:t xml:space="preserve">TBD — discovery</w:t>
            </w:r>
          </w:p>
        </w:tc>
      </w:tr>
      <w:tr>
        <w:trPr>
          <w:cantSplit/>
        </w:trPr>
        <w:tc>
          <w:tcPr>
            <w:tcW w:type="dxa" w:w="2987"/>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ENTRY PROGRAM</w:t>
            </w:r>
          </w:p>
        </w:tc>
        <w:tc>
          <w:tcPr>
            <w:tcW w:type="dxa" w:w="398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Builds on the IT + security in place; new cost = My SEO + Lead Gen Starter + TBD item</w:t>
            </w:r>
          </w:p>
        </w:tc>
        <w:tc>
          <w:tcPr>
            <w:tcW w:type="dxa" w:w="2391"/>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In place + new</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 Real published Technijian list rates. Acuity’s managed IT and security are already in place and are not re-priced. My SEO is new for Acuity — published tiers run $500–$1,500/mo; My AI Lead Gen Starter is $1,499/mo plus a one-time $2,500 setup. The secure deal-prep build (CIM / teaser / proposal + diligence + the institutional-knowledge system), managed services, and the advisor are the Phase-2 expansion, scoped in discovery — no invented numbers.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How We’ll Measure the Return</w:t>
            </w:r>
          </w:p>
          <w:p>
            <w:pPr>
              <w:keepNext w:val="false"/>
              <w:keepLines/>
              <w:spacing w:after="60" w:before="40" w:line="300"/>
            </w:pPr>
            <w:r>
              <w:rPr>
                <w:rFonts w:ascii="Open Sans" w:cs="Open Sans" w:eastAsia="Open Sans" w:hAnsi="Open Sans"/>
                <w:color w:val="59595B"/>
                <w:sz w:val="20"/>
                <w:szCs w:val="20"/>
              </w:rPr>
              <w:t xml:space="preserve">We do not lead with a multiple we cannot back. Year-1 return is modeled from real levers — authority inbound, referral activation, and revenue per professional — each tied to a number Acuity already tracks. Targets are set from those baselines in discovery, and in this market a single additional engagement can outweigh the entire program cost. Illustrative until then — no number we can’t back.</w:t>
            </w:r>
          </w:p>
        </w:tc>
      </w:tr>
    </w:tbl>
    <w:p>
      <w:r>
        <w:br w:type="page"/>
      </w:r>
    </w:p>
    <w:p>
      <w:pPr>
        <w:pStyle w:val="Heading1"/>
        <w:keepNext/>
        <w:spacing w:after="120" w:before="360" w:line="240"/>
      </w:pPr>
      <w:r>
        <w:rPr>
          <w:rFonts w:ascii="Open Sans" w:cs="Open Sans" w:eastAsia="Open Sans" w:hAnsi="Open Sans"/>
          <w:color w:val="FFFFFF"/>
          <w:sz w:val="2"/>
          <w:szCs w:val="2"/>
        </w:rPr>
        <w:t xml:space="preserve">The Roadmap &amp; Next Step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2"/>
                <w:szCs w:val="32"/>
              </w:rPr>
              <w:t xml:space="preserve">The Roadmap &amp; Next Step</w:t>
            </w:r>
          </w:p>
        </w:tc>
      </w:tr>
    </w:tbl>
    <w:p>
      <w:pPr>
        <w:spacing w:after="0" w:before="120"/>
      </w:pPr>
      <w:r>
        <w:t xml:space="preserve"/>
      </w:r>
    </w:p>
    <w:p>
      <w:pPr>
        <w:spacing w:after="80" w:before="120"/>
        <w:jc w:val="center"/>
      </w:pPr>
      <w:r>
        <w:drawing>
          <wp:inline distT="0" distB="0" distL="0" distR="0">
            <wp:extent cx="5715000" cy="2486025"/>
            <wp:effectExtent t="0" r="0" b="0" l="0"/>
            <wp:docPr id="1" name="Acuity 90-180-270 Day Roadmap" descr="Acuity 90-180-270 Day Roadmap" title="Acuity 90-180-270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rFonts w:ascii="Open Sans" w:cs="Open Sans" w:eastAsia="Open Sans" w:hAnsi="Open Sans"/>
          <w:i/>
          <w:iCs/>
          <w:color w:val="59595B"/>
          <w:sz w:val="18"/>
          <w:szCs w:val="18"/>
        </w:rPr>
        <w:t xml:space="preserve">90 / 180 / 270-Day Roadmap: Foundation, Authority &amp; Referral, then Scale &amp; Remember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Recommended Next Steps</w:t>
            </w:r>
          </w:p>
          <w:p>
            <w:pPr>
              <w:keepNext/>
              <w:keepLines/>
              <w:spacing w:after="60" w:before="40" w:line="300"/>
            </w:pPr>
            <w:r>
              <w:rPr>
                <w:rFonts w:ascii="Open Sans" w:cs="Open Sans" w:eastAsia="Open Sans" w:hAnsi="Open Sans"/>
                <w:color w:val="59595B"/>
                <w:sz w:val="20"/>
                <w:szCs w:val="20"/>
              </w:rPr>
              <w:t xml:space="preserve">Step 1: A 30-minute discovery call to confirm the baselines and the program scope.</w:t>
            </w:r>
          </w:p>
          <w:p>
            <w:pPr>
              <w:keepNext/>
              <w:keepLines/>
              <w:spacing w:after="60" w:before="40" w:line="300"/>
            </w:pPr>
            <w:r>
              <w:rPr>
                <w:rFonts w:ascii="Open Sans" w:cs="Open Sans" w:eastAsia="Open Sans" w:hAnsi="Open Sans"/>
                <w:color w:val="59595B"/>
                <w:sz w:val="20"/>
                <w:szCs w:val="20"/>
              </w:rPr>
              <w:t xml:space="preserve">Step 2: Technijian returns a calibrated model and a fixed-scope Statement of Work within 5 business days.</w:t>
            </w:r>
          </w:p>
          <w:p>
            <w:pPr>
              <w:keepNext w:val="false"/>
              <w:keepLines/>
              <w:spacing w:after="60" w:before="40" w:line="300"/>
            </w:pPr>
            <w:r>
              <w:rPr>
                <w:rFonts w:ascii="Open Sans" w:cs="Open Sans" w:eastAsia="Open Sans" w:hAnsi="Open Sans"/>
                <w:color w:val="59595B"/>
                <w:sz w:val="20"/>
                <w:szCs w:val="20"/>
              </w:rPr>
              <w:t xml:space="preserve">Step 3: Phase 1 kickoff — the answer-engine foundation, the decision hub, and the proof scoreboard — inside 30 days.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280"/>
              <w:left w:type="dxa" w:w="400"/>
              <w:bottom w:type="dxa" w:w="280"/>
              <w:right w:type="dxa" w:w="400"/>
            </w:tcMar>
          </w:tcPr>
          <w:p>
            <w:pPr>
              <w:spacing w:after="100"/>
              <w:jc w:val="center"/>
            </w:pPr>
            <w:r>
              <w:rPr>
                <w:rFonts w:ascii="Open Sans" w:cs="Open Sans" w:eastAsia="Open Sans" w:hAnsi="Open Sans"/>
                <w:b/>
                <w:bCs/>
                <w:color w:val="FFFFFF"/>
                <w:sz w:val="26"/>
                <w:szCs w:val="26"/>
              </w:rPr>
              <w:t xml:space="preserve">We already secure your environment. Let’s turn it into a growth engine.</w:t>
            </w:r>
          </w:p>
          <w:p>
            <w:pPr>
              <w:jc w:val="center"/>
            </w:pPr>
            <w:r>
              <w:rPr>
                <w:rFonts w:ascii="Open Sans" w:cs="Open Sans" w:eastAsia="Open Sans" w:hAnsi="Open Sans"/>
                <w:color w:val="FFFFFF"/>
                <w:sz w:val="22"/>
                <w:szCs w:val="22"/>
              </w:rPr>
              <w:t xml:space="preserve">Ravi Jain, Technijian  |  RJain@technijian.com  |  949.379.8499  |  technijian.com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949.379.8499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6002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00200" cy="333375"/>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Executive Summary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Open Sans" w:cs="Open Sans" w:eastAsia="Open Sans" w:hAnsi="Open Sans"/>
      <w:b/>
      <w:bCs/>
      <w:color w:val="FFFFFF"/>
      <w:sz w:val="2"/>
      <w:szCs w:val="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103d8b7cd0eed7467432b2205de7bc29f677af.png"/><Relationship Id="rId10" Type="http://schemas.openxmlformats.org/officeDocument/2006/relationships/image" Target="media/1540d702b3fd7f3c57604962a4554f5d113be056.png"/><Relationship Id="rId11" Type="http://schemas.openxmlformats.org/officeDocument/2006/relationships/image" Target="media/9203d3712b70a0832fa2bc6a52831916cad0ace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103d8b7cd0eed7467432b2205de7bc29f677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2026-06-02T19:02:12.677Z</dcterms:created>
  <dcterms:modified xsi:type="dcterms:W3CDTF">2026-06-02T19:02:12.679Z</dcterms:modified>
</cp:coreProperties>
</file>

<file path=docProps/custom.xml><?xml version="1.0" encoding="utf-8"?>
<Properties xmlns="http://schemas.openxmlformats.org/officeDocument/2006/custom-properties" xmlns:vt="http://schemas.openxmlformats.org/officeDocument/2006/docPropsVTypes"/>
</file>