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100"/>
            </w:pPr>
            <w:r>
              <w:t xml:space="preserve"/>
            </w:r>
          </w:p>
        </w:tc>
      </w:tr>
    </w:tbl>
    <w:p>
      <w:pPr>
        <w:spacing w:after="0" w:before="300"/>
      </w:pPr>
      <w:r>
        <w:t xml:space="preserve"/>
      </w:r>
    </w:p>
    <w:p>
      <w:pPr>
        <w:jc w:val="center"/>
      </w:pPr>
      <w:r>
        <w:drawing>
          <wp:inline distT="0" distB="0" distL="0" distR="0">
            <wp:extent cx="1905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400050"/>
                    </a:xfrm>
                    <a:prstGeom prst="rect">
                      <a:avLst/>
                    </a:prstGeom>
                  </pic:spPr>
                </pic:pic>
              </a:graphicData>
            </a:graphic>
          </wp:inline>
        </w:drawing>
      </w:r>
    </w:p>
    <w:p>
      <w:pPr>
        <w:spacing w:after="0" w:before="200"/>
      </w:pPr>
      <w:r>
        <w:t xml:space="preserve"/>
      </w:r>
    </w:p>
    <w:p>
      <w:pPr>
        <w:spacing w:after="40"/>
        <w:jc w:val="center"/>
      </w:pPr>
      <w:r>
        <w:rPr>
          <w:rFonts w:ascii="Open Sans" w:cs="Open Sans" w:eastAsia="Open Sans" w:hAnsi="Open Sans"/>
          <w:b/>
          <w:bCs/>
          <w:color w:val="1A1A2E"/>
          <w:sz w:val="36"/>
          <w:szCs w:val="36"/>
        </w:rPr>
        <w:t xml:space="preserve">MBC AQUATIC SCIENCES</w:t>
      </w:r>
    </w:p>
    <w:p>
      <w:pPr>
        <w:spacing w:after="60"/>
        <w:jc w:val="center"/>
      </w:pPr>
      <w:r>
        <w:rPr>
          <w:rFonts w:ascii="Open Sans" w:cs="Open Sans" w:eastAsia="Open Sans" w:hAnsi="Open Sans"/>
          <w:color w:val="006DB6"/>
          <w:sz w:val="26"/>
          <w:szCs w:val="26"/>
        </w:rPr>
        <w:t xml:space="preserve">AI Growth &amp; Integration Strategy  ·  Executive Summary</w:t>
      </w:r>
    </w:p>
    <w:p>
      <w:pPr>
        <w:spacing w:after="180"/>
        <w:jc w:val="center"/>
      </w:pPr>
      <w:r>
        <w:rPr>
          <w:rFonts w:ascii="Open Sans" w:cs="Open Sans" w:eastAsia="Open Sans" w:hAnsi="Open Sans"/>
          <w:color w:val="59595B"/>
          <w:sz w:val="20"/>
          <w:szCs w:val="20"/>
        </w:rPr>
        <w:t xml:space="preserve">Prepared by Technijian for Shane Beck, President  ·  2026-06-03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006DB6"/>
                <w:sz w:val="40"/>
                <w:szCs w:val="40"/>
              </w:rPr>
              <w:t xml:space="preserve">1969</w:t>
            </w:r>
          </w:p>
          <w:p>
            <w:pPr>
              <w:spacing w:after="0"/>
              <w:jc w:val="center"/>
            </w:pPr>
            <w:r>
              <w:rPr>
                <w:rFonts w:ascii="Open Sans" w:cs="Open Sans" w:eastAsia="Open Sans" w:hAnsi="Open Sans"/>
                <w:color w:val="59595B"/>
                <w:sz w:val="16"/>
                <w:szCs w:val="16"/>
              </w:rPr>
              <w:t xml:space="preserve">Founded — CA eelgrass-science pioneer</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F67D4B"/>
                <w:sz w:val="40"/>
                <w:szCs w:val="40"/>
              </w:rPr>
              <w:t xml:space="preserve">57</w:t>
            </w:r>
          </w:p>
          <w:p>
            <w:pPr>
              <w:spacing w:after="0"/>
              <w:jc w:val="center"/>
            </w:pPr>
            <w:r>
              <w:rPr>
                <w:rFonts w:ascii="Open Sans" w:cs="Open Sans" w:eastAsia="Open Sans" w:hAnsi="Open Sans"/>
                <w:color w:val="59595B"/>
                <w:sz w:val="16"/>
                <w:szCs w:val="16"/>
              </w:rPr>
              <w:t xml:space="preserve">Years in Business (2026)</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1EAAC8"/>
                <w:sz w:val="40"/>
                <w:szCs w:val="40"/>
              </w:rPr>
              <w:t xml:space="preserve">600+</w:t>
            </w:r>
          </w:p>
          <w:p>
            <w:pPr>
              <w:spacing w:after="0"/>
              <w:jc w:val="center"/>
            </w:pPr>
            <w:r>
              <w:rPr>
                <w:rFonts w:ascii="Open Sans" w:cs="Open Sans" w:eastAsia="Open Sans" w:hAnsi="Open Sans"/>
                <w:color w:val="59595B"/>
                <w:sz w:val="16"/>
                <w:szCs w:val="16"/>
              </w:rPr>
              <w:t xml:space="preserve">Major Scientific Reports</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C9922A"/>
                <w:sz w:val="40"/>
                <w:szCs w:val="40"/>
              </w:rPr>
              <w:t xml:space="preserve">27 yrs</w:t>
            </w:r>
          </w:p>
          <w:p>
            <w:pPr>
              <w:spacing w:after="0"/>
              <w:jc w:val="center"/>
            </w:pPr>
            <w:r>
              <w:rPr>
                <w:rFonts w:ascii="Open Sans" w:cs="Open Sans" w:eastAsia="Open Sans" w:hAnsi="Open Sans"/>
                <w:color w:val="59595B"/>
                <w:sz w:val="16"/>
                <w:szCs w:val="16"/>
              </w:rPr>
              <w:t xml:space="preserve">Avg Project-Mgmt Tenure</w:t>
            </w:r>
          </w:p>
        </w:tc>
      </w:tr>
    </w:tbl>
    <w:p>
      <w:pPr>
        <w:spacing w:after="0" w:before="240"/>
      </w:pPr>
      <w:r>
        <w:t xml:space="preserve"/>
      </w:r>
    </w:p>
    <w:p>
      <w:pPr>
        <w:pStyle w:val="Heading1"/>
        <w:keepNext/>
        <w:spacing w:after="120" w:before="320" w:line="240"/>
      </w:pPr>
      <w:r>
        <w:rPr>
          <w:rFonts w:ascii="Open Sans" w:cs="Open Sans" w:eastAsia="Open Sans" w:hAnsi="Open Sans"/>
          <w:color w:val="FFFFFF"/>
          <w:sz w:val="2"/>
          <w:szCs w:val="2"/>
        </w:rPr>
        <w:t xml:space="preserve">The Opportunity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The Opportunity</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MBC has the hard things: fifty-seven years of field-defining marine and environmental science, a founder still on staff, a senior bench whose depth no niche competitor can match, an in-house toxicity laboratory, and a reputation that wins work. The growth and continuity question is somewhere else, and three forces define it — each one a place where AI is the right lever for a firm whose value is its expertise.</w:t>
      </w:r>
    </w:p>
    <w:p>
      <w:pPr>
        <w:spacing w:after="140" w:before="0" w:line="320"/>
        <w:jc w:val="both"/>
      </w:pPr>
      <w:r>
        <w:rPr>
          <w:rFonts w:ascii="Open Sans" w:cs="Open Sans" w:eastAsia="Open Sans" w:hAnsi="Open Sans"/>
          <w:b w:val="false"/>
          <w:bCs w:val="false"/>
          <w:i w:val="false"/>
          <w:iCs w:val="false"/>
          <w:color w:val="59595B"/>
          <w:sz w:val="22"/>
          <w:szCs w:val="22"/>
        </w:rPr>
        <w:t xml:space="preserve">First, the memory is the moat, and it is aging. The firm’s value lives in the judgment of its most-tenured people, and it is almost entirely undocumented. Every retirement on a twenty-seven-year-average bench moves irreplaceable knowledge closer to the door. Second, the proposal is the bottleneck. A specialized firm wins on qualifications and response speed, and a lean senior team’s capacity to produce strong statements of qualifications quietly caps how much of the right work it even pursues. Third, the firm is hard to find. When an agency project manager or an AI assistant asks who does eelgrass restoration, Clean Water Act §316(b) studies, or marine toxicity testing in Southern California, a field-defining firm sits below the citation surface.</w:t>
      </w:r>
    </w:p>
    <w:p>
      <w:pPr>
        <w:spacing w:after="140" w:before="0" w:line="320"/>
        <w:jc w:val="both"/>
      </w:pPr>
      <w:r>
        <w:rPr>
          <w:rFonts w:ascii="Open Sans" w:cs="Open Sans" w:eastAsia="Open Sans" w:hAnsi="Open Sans"/>
          <w:b w:val="false"/>
          <w:bCs w:val="false"/>
          <w:i w:val="false"/>
          <w:iCs w:val="false"/>
          <w:color w:val="59595B"/>
          <w:sz w:val="22"/>
          <w:szCs w:val="22"/>
        </w:rPr>
        <w:t xml:space="preserve">None of the three is a science problem; each is a memory, speed, or visibility problem — exactly where a right-sized firm can deploy AI faster than a global competitor can, and turn its accumulated expertise into a durable, compounding asset.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Science-First Boundary</w:t>
            </w:r>
          </w:p>
          <w:p>
            <w:pPr>
              <w:keepNext/>
              <w:keepLines/>
              <w:spacing w:after="60" w:before="40" w:line="300"/>
            </w:pPr>
            <w:r>
              <w:rPr>
                <w:rFonts w:ascii="Open Sans" w:cs="Open Sans" w:eastAsia="Open Sans" w:hAnsi="Open Sans"/>
                <w:color w:val="59595B"/>
                <w:sz w:val="20"/>
                <w:szCs w:val="20"/>
              </w:rPr>
              <w:t xml:space="preserve">AI drafts the proposal, indexes fifty-seven years of reports and data, tracks the permitting calendar, runs a quality check on a draft, and remembers every project — with sources cited.</w:t>
            </w:r>
          </w:p>
          <w:p>
            <w:pPr>
              <w:keepNext w:val="false"/>
              <w:keepLines/>
              <w:spacing w:after="60" w:before="40" w:line="300"/>
            </w:pPr>
            <w:r>
              <w:rPr>
                <w:rFonts w:ascii="Open Sans" w:cs="Open Sans" w:eastAsia="Open Sans" w:hAnsi="Open Sans"/>
                <w:color w:val="59595B"/>
                <w:sz w:val="20"/>
                <w:szCs w:val="20"/>
              </w:rPr>
              <w:t xml:space="preserve">AI never makes a scientific determination, never signs or certifies a regulatory submittal, and never replaces a licensed professional’s judgment. The scientist owns the analysis, the signature, and the regulatory call.</w:t>
            </w:r>
          </w:p>
        </w:tc>
      </w:tr>
    </w:tbl>
    <w:p>
      <w:pPr>
        <w:pStyle w:val="Heading1"/>
        <w:keepNext/>
        <w:spacing w:after="120" w:before="320" w:line="240"/>
      </w:pPr>
      <w:r>
        <w:rPr>
          <w:rFonts w:ascii="Open Sans" w:cs="Open Sans" w:eastAsia="Open Sans" w:hAnsi="Open Sans"/>
          <w:color w:val="FFFFFF"/>
          <w:sz w:val="2"/>
          <w:szCs w:val="2"/>
        </w:rPr>
        <w:t xml:space="preserve">How AI Transforms MBC’s Growth &amp; Integration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How AI Transforms MBC’s Growth &amp; Integration</w:t>
            </w:r>
          </w:p>
        </w:tc>
      </w:tr>
    </w:tbl>
    <w:p>
      <w:pPr>
        <w:spacing w:after="0" w:before="40"/>
      </w:pPr>
      <w:r>
        <w:t xml:space="preserve"/>
      </w:r>
    </w:p>
    <w:p>
      <w:pPr>
        <w:spacing w:after="80" w:before="0" w:line="320"/>
        <w:jc w:val="both"/>
      </w:pPr>
      <w:r>
        <w:rPr>
          <w:rFonts w:ascii="Open Sans" w:cs="Open Sans" w:eastAsia="Open Sans" w:hAnsi="Open Sans"/>
          <w:b w:val="false"/>
          <w:bCs w:val="false"/>
          <w:i w:val="false"/>
          <w:iCs w:val="false"/>
          <w:color w:val="59595B"/>
          <w:sz w:val="22"/>
          <w:szCs w:val="22"/>
        </w:rPr>
        <w:t xml:space="preserve">The engine runs three motions at once — the institutional brain on the left feeds the proposal engine and the pursuit funnel, with each motion detailed beneath the diagram.</w:t>
      </w:r>
    </w:p>
    <w:p>
      <w:pPr>
        <w:spacing w:after="80" w:before="120"/>
        <w:jc w:val="center"/>
      </w:pPr>
      <w:r>
        <w:drawing>
          <wp:inline distT="0" distB="0" distL="0" distR="0">
            <wp:extent cx="5524500" cy="3457575"/>
            <wp:effectExtent t="0" r="0" b="0" l="0"/>
            <wp:docPr id="1" name="The MBC AI Growth &amp; Integration Engine" descr="The MBC AI Growth &amp; Integration Engine" title="The MBC AI Growth &amp;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200" w:before="0"/>
        <w:jc w:val="center"/>
      </w:pPr>
      <w:r>
        <w:rPr>
          <w:rFonts w:ascii="Open Sans" w:cs="Open Sans" w:eastAsia="Open Sans" w:hAnsi="Open Sans"/>
          <w:i/>
          <w:iCs/>
          <w:color w:val="59595B"/>
          <w:sz w:val="18"/>
          <w:szCs w:val="18"/>
        </w:rPr>
        <w:t xml:space="preserve">The Engine: Capture the Memory, Win the Proposal Race, and Get Cited &amp; Pursue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Capture the Memory</w:t>
            </w:r>
          </w:p>
          <w:p>
            <w:pPr>
              <w:keepNext w:val="false"/>
              <w:keepLines/>
              <w:spacing w:after="60" w:before="40" w:line="300"/>
            </w:pPr>
            <w:r>
              <w:rPr>
                <w:rFonts w:ascii="Open Sans" w:cs="Open Sans" w:eastAsia="Open Sans" w:hAnsi="Open Sans"/>
                <w:color w:val="59595B"/>
                <w:sz w:val="20"/>
                <w:szCs w:val="20"/>
              </w:rPr>
              <w:t xml:space="preserve">Index fifty-seven years of reports, field data, toxicity records, taxonomic keys, and — through structured debriefs — the founder’s and senior scientists’ own judgment into a secure, queryable institutional brain. The next generation onboards on the firm’s accumulated expertise instead of reinventing it, and a key-person risk becomes a durable, transferable asset.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Win the Proposal Race</w:t>
            </w:r>
          </w:p>
          <w:p>
            <w:pPr>
              <w:keepNext w:val="false"/>
              <w:keepLines/>
              <w:spacing w:after="60" w:before="40" w:line="300"/>
            </w:pPr>
            <w:r>
              <w:rPr>
                <w:rFonts w:ascii="Open Sans" w:cs="Open Sans" w:eastAsia="Open Sans" w:hAnsi="Open Sans"/>
                <w:color w:val="59595B"/>
                <w:sz w:val="20"/>
                <w:szCs w:val="20"/>
              </w:rPr>
              <w:t xml:space="preserve">Draft statements of qualifications, scopes, key-personnel resumes, and reference packages from the institutional brain, in the agency’s format, in hours instead of days. A multi-model quality check flags gaps before the scientist’s final review. The firm pursues more of the right work — at the same win rate — without adding headcount.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Get Cited &amp; Pursue</w:t>
            </w:r>
          </w:p>
          <w:p>
            <w:pPr>
              <w:keepNext w:val="false"/>
              <w:keepLines/>
              <w:spacing w:after="60" w:before="40" w:line="300"/>
            </w:pPr>
            <w:r>
              <w:rPr>
                <w:rFonts w:ascii="Open Sans" w:cs="Open Sans" w:eastAsia="Open Sans" w:hAnsi="Open Sans"/>
                <w:color w:val="59595B"/>
                <w:sz w:val="20"/>
                <w:szCs w:val="20"/>
              </w:rPr>
              <w:t xml:space="preserve">Own the AI-search citations on eelgrass, §316(b), toxicity, and desalination queries, and publish the under-covered authority content that signals depth. Watch the named-account solicitation calendar — on-call cycles, capital-improvement and CEQA filings, NPDES renewals — and arrive at each pursuit with a dossier ready.</w:t>
            </w:r>
          </w:p>
        </w:tc>
      </w:tr>
    </w:tbl>
    <w:p>
      <w:pPr>
        <w:pStyle w:val="Heading1"/>
        <w:keepNext/>
        <w:spacing w:after="120" w:before="320" w:line="240"/>
      </w:pPr>
      <w:r>
        <w:rPr>
          <w:rFonts w:ascii="Open Sans" w:cs="Open Sans" w:eastAsia="Open Sans" w:hAnsi="Open Sans"/>
          <w:color w:val="FFFFFF"/>
          <w:sz w:val="2"/>
          <w:szCs w:val="2"/>
        </w:rPr>
        <w:t xml:space="preserve">The Program — Start Small, Expand as It Proves 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The Program — Start Small, Expand as It Proves Out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program leads with a small, low-commitment entry that pays for itself on the highest near-term levers — AI-search authority, named-account pursuit intelligence, and a strategy workshop — with no large build to begin. The institutional-memory brain and the proposal engine come second, once the entry proves the lift. The figures below are estimated and conservative; the full plan walks through every assumption and calibrates after a short discovery call.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92"/>
        <w:gridCol w:w="2184"/>
        <w:gridCol w:w="2184"/>
      </w:tblGrid>
      <w:tr>
        <w:trPr>
          <w:cantSplit/>
          <w:tblHeader/>
        </w:trPr>
        <w:tc>
          <w:tcPr>
            <w:tcW w:type="dxa" w:w="49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Entry Program — Phase 1</w:t>
            </w:r>
          </w:p>
        </w:tc>
        <w:tc>
          <w:tcPr>
            <w:tcW w:type="dxa" w:w="218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Monthly</w:t>
            </w:r>
          </w:p>
        </w:tc>
        <w:tc>
          <w:tcPr>
            <w:tcW w:type="dxa" w:w="218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Y1</w:t>
            </w:r>
          </w:p>
        </w:tc>
      </w:tr>
      <w:tr>
        <w:trPr>
          <w:cantSplit/>
        </w:trPr>
        <w:tc>
          <w:tcPr>
            <w:tcW w:type="dxa" w:w="49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Niche AI-Search Authority + Reputation</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$1,250</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$15,000</w:t>
            </w:r>
          </w:p>
        </w:tc>
      </w:tr>
      <w:tr>
        <w:trPr>
          <w:cantSplit/>
        </w:trPr>
        <w:tc>
          <w:tcPr>
            <w:tcW w:type="dxa" w:w="49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Named-Account Pursuit (Starter)</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$1,000</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$12,000</w:t>
            </w:r>
          </w:p>
        </w:tc>
      </w:tr>
      <w:tr>
        <w:trPr>
          <w:cantSplit/>
        </w:trPr>
        <w:tc>
          <w:tcPr>
            <w:tcW w:type="dxa" w:w="49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Executive AI Workshop (one-time)</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$5,000</w:t>
            </w:r>
          </w:p>
        </w:tc>
      </w:tr>
      <w:tr>
        <w:trPr>
          <w:cantSplit/>
        </w:trPr>
        <w:tc>
          <w:tcPr>
            <w:tcW w:type="dxa" w:w="49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 (start here)</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$2,250/mo + workshop</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~$32,000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0"/>
        <w:gridCol w:w="1826"/>
        <w:gridCol w:w="1826"/>
        <w:gridCol w:w="1828"/>
      </w:tblGrid>
      <w:tr>
        <w:trPr>
          <w:cantSplit/>
          <w:tblHeader/>
        </w:trPr>
        <w:tc>
          <w:tcPr>
            <w:tcW w:type="dxa" w:w="38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Lever (Estimated, Conservative)</w:t>
            </w:r>
          </w:p>
        </w:tc>
        <w:tc>
          <w:tcPr>
            <w:tcW w:type="dxa" w:w="18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Conservative</w:t>
            </w:r>
          </w:p>
        </w:tc>
        <w:tc>
          <w:tcPr>
            <w:tcW w:type="dxa" w:w="18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Target</w:t>
            </w:r>
          </w:p>
        </w:tc>
        <w:tc>
          <w:tcPr>
            <w:tcW w:type="dxa" w:w="182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Aggressive</w:t>
            </w:r>
          </w:p>
        </w:tc>
      </w:tr>
      <w:tr>
        <w:trPr>
          <w:cantSplit/>
        </w:trPr>
        <w:tc>
          <w:tcPr>
            <w:tcW w:type="dxa" w:w="3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Added revenue from faster, better proposals</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+$55K</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+$135K</w:t>
            </w:r>
          </w:p>
        </w:tc>
        <w:tc>
          <w:tcPr>
            <w:tcW w:type="dxa" w:w="18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+$275K</w:t>
            </w:r>
          </w:p>
        </w:tc>
      </w:tr>
      <w:tr>
        <w:trPr>
          <w:cantSplit/>
        </w:trPr>
        <w:tc>
          <w:tcPr>
            <w:tcW w:type="dxa" w:w="38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On-call renewal value protected</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+$40K</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+$70K</w:t>
            </w:r>
          </w:p>
        </w:tc>
        <w:tc>
          <w:tcPr>
            <w:tcW w:type="dxa" w:w="18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+$110K</w:t>
            </w:r>
          </w:p>
        </w:tc>
      </w:tr>
      <w:tr>
        <w:trPr>
          <w:cantSplit/>
        </w:trPr>
        <w:tc>
          <w:tcPr>
            <w:tcW w:type="dxa" w:w="3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Y1 value (entry program)</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+$95K</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+$205K</w:t>
            </w:r>
          </w:p>
        </w:tc>
        <w:tc>
          <w:tcPr>
            <w:tcW w:type="dxa" w:w="18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+$385K</w:t>
            </w:r>
          </w:p>
        </w:tc>
      </w:tr>
      <w:tr>
        <w:trPr>
          <w:cantSplit/>
        </w:trPr>
        <w:tc>
          <w:tcPr>
            <w:tcW w:type="dxa" w:w="38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vs. $32K entry</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~3.0x</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~6.4x</w:t>
            </w:r>
          </w:p>
        </w:tc>
        <w:tc>
          <w:tcPr>
            <w:tcW w:type="dxa" w:w="18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~12.0x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The ratio is modeled against the entry program only. The expansion build — the institutional-memory brain and the proposal engine — adds further gains the entry ratio does not count, including the succession and key-person risk it retires. All figures are projected, not guaranteed.</w:t>
      </w:r>
    </w:p>
    <w:p>
      <w:pPr>
        <w:spacing w:after="0" w:before="120"/>
      </w:pPr>
      <w:r>
        <w:t xml:space="preserve"/>
      </w:r>
    </w:p>
    <w:p>
      <w:pPr>
        <w:spacing w:after="80" w:before="120"/>
        <w:jc w:val="center"/>
      </w:pPr>
      <w:r>
        <w:drawing>
          <wp:inline distT="0" distB="0" distL="0" distR="0">
            <wp:extent cx="5715000" cy="2514600"/>
            <wp:effectExtent t="0" r="0" b="0" l="0"/>
            <wp:docPr id="1" name="MBC 90-180-270 Day Roadmap" descr="MBC 90-180-270 Day Roadmap" title="MBC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14600"/>
                    </a:xfrm>
                    <a:prstGeom prst="rect">
                      <a:avLst/>
                    </a:prstGeom>
                  </pic:spPr>
                </pic:pic>
              </a:graphicData>
            </a:graphic>
          </wp:inline>
        </w:drawing>
      </w:r>
    </w:p>
    <w:p>
      <w:pPr>
        <w:spacing w:after="200" w:before="0"/>
        <w:jc w:val="center"/>
      </w:pPr>
      <w:r>
        <w:rPr>
          <w:rFonts w:ascii="Open Sans" w:cs="Open Sans" w:eastAsia="Open Sans" w:hAnsi="Open Sans"/>
          <w:i/>
          <w:iCs/>
          <w:color w:val="59595B"/>
          <w:sz w:val="18"/>
          <w:szCs w:val="18"/>
        </w:rPr>
        <w:t xml:space="preserve">90 / 180 / 270-Day Roadmap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Next Step — 30 Minutes</w:t>
            </w:r>
          </w:p>
          <w:p>
            <w:pPr>
              <w:spacing w:after="80"/>
              <w:jc w:val="center"/>
            </w:pPr>
            <w:r>
              <w:rPr>
                <w:rFonts w:ascii="Open Sans" w:cs="Open Sans" w:eastAsia="Open Sans" w:hAnsi="Open Sans"/>
                <w:color w:val="FFFFFF"/>
                <w:sz w:val="20"/>
                <w:szCs w:val="20"/>
              </w:rPr>
              <w:t xml:space="preserve">A short discovery call to confirm scope and calibrate the plan against MBC’s actual numbers — and to talk candidly about the succession and scaling questions underneath it.</w:t>
            </w:r>
          </w:p>
          <w:p>
            <w:pPr>
              <w:jc w:val="center"/>
            </w:pPr>
            <w:r>
              <w:rPr>
                <w:rFonts w:ascii="Open Sans" w:cs="Open Sans" w:eastAsia="Open Sans" w:hAnsi="Open Sans"/>
                <w:color w:val="FFFFFF"/>
                <w:sz w:val="20"/>
                <w:szCs w:val="20"/>
              </w:rPr>
              <w:t xml:space="preserve">Ravi Jain, Technijian  |  RJain@technijian.com  |  949.379.8499</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 Growth &amp; Integration: 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Open Sans" w:cs="Open Sans" w:eastAsia="Open Sans" w:hAnsi="Open Sans"/>
      <w:b/>
      <w:bCs/>
      <w:color w:val="FFFFFF"/>
      <w:sz w:val="2"/>
      <w:szCs w:val="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4acc75cc2170d7b305128b1fd1d9a59b4b9e6c66.png"/><Relationship Id="rId11" Type="http://schemas.openxmlformats.org/officeDocument/2006/relationships/image" Target="media/242ff6ba444436742cf7829c2a3d6c0bb625b62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2026-06-03T15:54:34.445Z</dcterms:created>
  <dcterms:modified xsi:type="dcterms:W3CDTF">2026-06-03T15:54:34.447Z</dcterms:modified>
</cp:coreProperties>
</file>

<file path=docProps/custom.xml><?xml version="1.0" encoding="utf-8"?>
<Properties xmlns="http://schemas.openxmlformats.org/officeDocument/2006/custom-properties" xmlns:vt="http://schemas.openxmlformats.org/officeDocument/2006/docPropsVTypes"/>
</file>