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300"/>
      </w:pPr>
      <w:r>
        <w:t xml:space="preserve"/>
      </w:r>
    </w:p>
    <w:p>
      <w:pPr>
        <w:jc w:val="center"/>
      </w:pPr>
      <w:r>
        <w:drawing>
          <wp:inline distT="0" distB="0" distL="0" distR="0">
            <wp:extent cx="2286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476250"/>
                    </a:xfrm>
                    <a:prstGeom prst="rect">
                      <a:avLst/>
                    </a:prstGeom>
                  </pic:spPr>
                </pic:pic>
              </a:graphicData>
            </a:graphic>
          </wp:inline>
        </w:drawing>
      </w:r>
    </w:p>
    <w:p>
      <w:pPr>
        <w:spacing w:after="0" w:before="200"/>
      </w:pPr>
      <w:r>
        <w:t xml:space="preserve"/>
      </w:r>
    </w:p>
    <w:p>
      <w:pPr>
        <w:spacing w:after="40"/>
        <w:jc w:val="center"/>
      </w:pPr>
      <w:r>
        <w:rPr>
          <w:rFonts w:ascii="Open Sans" w:cs="Open Sans" w:eastAsia="Open Sans" w:hAnsi="Open Sans"/>
          <w:b/>
          <w:bCs/>
          <w:color w:val="1A1A2E"/>
          <w:sz w:val="44"/>
          <w:szCs w:val="44"/>
        </w:rPr>
        <w:t xml:space="preserve">PACIFIC UTILITY</w:t>
      </w:r>
    </w:p>
    <w:p>
      <w:pPr>
        <w:spacing w:after="40"/>
        <w:jc w:val="center"/>
      </w:pPr>
      <w:r>
        <w:rPr>
          <w:rFonts w:ascii="Open Sans" w:cs="Open Sans" w:eastAsia="Open Sans" w:hAnsi="Open Sans"/>
          <w:color w:val="006DB6"/>
          <w:sz w:val="25"/>
          <w:szCs w:val="25"/>
        </w:rPr>
        <w:t xml:space="preserve">AI Growth &amp; Integration Strategy  —  Executive Summary</w:t>
      </w:r>
    </w:p>
    <w:p>
      <w:pPr>
        <w:spacing w:after="120"/>
        <w:jc w:val="center"/>
      </w:pPr>
      <w:r>
        <w:rPr>
          <w:rFonts w:ascii="Open Sans" w:cs="Open Sans" w:eastAsia="Open Sans" w:hAnsi="Open Sans"/>
          <w:color w:val="59595B"/>
          <w:sz w:val="19"/>
          <w:szCs w:val="19"/>
        </w:rPr>
        <w:t xml:space="preserve">Prepared by Technijian  |  2026-06-03  |  Corona, California  |  pacificutility.com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60"/>
            </w:pPr>
            <w:r>
              <w:t xml:space="preserve"/>
            </w:r>
          </w:p>
        </w:tc>
      </w:tr>
    </w:tbl>
    <w:p>
      <w:pPr>
        <w:spacing w:after="0" w:before="17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006DB6"/>
                <w:sz w:val="36"/>
                <w:szCs w:val="36"/>
              </w:rPr>
              <w:t xml:space="preserve">1997</w:t>
            </w:r>
          </w:p>
          <w:p>
            <w:pPr>
              <w:jc w:val="center"/>
            </w:pPr>
            <w:r>
              <w:rPr>
                <w:rFonts w:ascii="Open Sans" w:cs="Open Sans" w:eastAsia="Open Sans" w:hAnsi="Open Sans"/>
                <w:color w:val="59595B"/>
                <w:sz w:val="16"/>
                <w:szCs w:val="16"/>
              </w:rPr>
              <w:t xml:space="preserve">Building Since</w:t>
            </w:r>
          </w:p>
        </w:tc>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F67D4B"/>
                <w:sz w:val="36"/>
                <w:szCs w:val="36"/>
              </w:rPr>
              <w:t xml:space="preserve">5 Trades</w:t>
            </w:r>
          </w:p>
          <w:p>
            <w:pPr>
              <w:jc w:val="center"/>
            </w:pPr>
            <w:r>
              <w:rPr>
                <w:rFonts w:ascii="Open Sans" w:cs="Open Sans" w:eastAsia="Open Sans" w:hAnsi="Open Sans"/>
                <w:color w:val="59595B"/>
                <w:sz w:val="16"/>
                <w:szCs w:val="16"/>
              </w:rPr>
              <w:t xml:space="preserve">One Source, One Schedule</w:t>
            </w:r>
          </w:p>
        </w:tc>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1EAAC8"/>
                <w:sz w:val="36"/>
                <w:szCs w:val="36"/>
              </w:rPr>
              <w:t xml:space="preserve">ESOP</w:t>
            </w:r>
          </w:p>
          <w:p>
            <w:pPr>
              <w:jc w:val="center"/>
            </w:pPr>
            <w:r>
              <w:rPr>
                <w:rFonts w:ascii="Open Sans" w:cs="Open Sans" w:eastAsia="Open Sans" w:hAnsi="Open Sans"/>
                <w:color w:val="59595B"/>
                <w:sz w:val="16"/>
                <w:szCs w:val="16"/>
              </w:rPr>
              <w:t xml:space="preserve">Employee-Owned · 2017</w:t>
            </w:r>
          </w:p>
        </w:tc>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1A1A2E"/>
                <w:sz w:val="36"/>
                <w:szCs w:val="36"/>
              </w:rPr>
              <w:t xml:space="preserve">CA·NV·AZ</w:t>
            </w:r>
          </w:p>
          <w:p>
            <w:pPr>
              <w:jc w:val="center"/>
            </w:pPr>
            <w:r>
              <w:rPr>
                <w:rFonts w:ascii="Open Sans" w:cs="Open Sans" w:eastAsia="Open Sans" w:hAnsi="Open Sans"/>
                <w:color w:val="59595B"/>
                <w:sz w:val="16"/>
                <w:szCs w:val="16"/>
              </w:rPr>
              <w:t xml:space="preserve">Tri-State Footprint</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more than twenty-five years Pacific Utility has built the underground that everything else stands on — utility engineering, wet, dry, high voltage, and streetlights, self-performed across California, Nevada, and Arizona. What it has not yet built is the digital and AI engine that makes that reputation findable, wins more of the right work, and lets a labor-short team bid more without adding estimators it cannot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Rebalance toward the boom — residential is cooling while grid, undergrounding, EV, broadband, and streetlights surge, and Pacific Utility already self-performs exactly that work. AI helps the firm chase and win more of it.</w:t>
            </w:r>
          </w:p>
          <w:p>
            <w:pPr>
              <w:keepNext/>
              <w:keepLines/>
              <w:spacing w:after="60" w:before="40" w:line="300"/>
            </w:pPr>
            <w:r>
              <w:rPr>
                <w:rFonts w:ascii="Open Sans" w:cs="Open Sans" w:eastAsia="Open Sans" w:hAnsi="Open Sans"/>
                <w:color w:val="59595B"/>
                <w:sz w:val="20"/>
                <w:szCs w:val="20"/>
              </w:rPr>
              <w:t xml:space="preserve">Own a category that is digitally asleep — no underground-utility contractor has claimed the AI-answer position, and none can claim the single-source, all-five-trades, tri-state story. First mover earns compounding authority.</w:t>
            </w:r>
          </w:p>
          <w:p>
            <w:pPr>
              <w:keepNext w:val="false"/>
              <w:keepLines/>
              <w:spacing w:after="60" w:before="40" w:line="300"/>
            </w:pPr>
            <w:r>
              <w:rPr>
                <w:rFonts w:ascii="Open Sans" w:cs="Open Sans" w:eastAsia="Open Sans" w:hAnsi="Open Sans"/>
                <w:color w:val="59595B"/>
                <w:sz w:val="20"/>
                <w:szCs w:val="20"/>
              </w:rPr>
              <w:t xml:space="preserve">Make bandwidth the advantage, not the ceiling — in a labor shortage, estimating capacity is the bottleneck. AI lets the firm bid more and sharper without hiring up; the licensed estimator still signs the number.</w:t>
            </w:r>
          </w:p>
        </w:tc>
      </w:tr>
    </w:tbl>
    <w:p>
      <w:r>
        <w:br w:type="page"/>
      </w:r>
    </w:p>
    <w:p>
      <w:pPr>
        <w:pStyle w:val="Heading1"/>
        <w:keepNext/>
        <w:spacing w:after="120" w:before="360" w:line="240"/>
      </w:pPr>
      <w:r>
        <w:rPr>
          <w:rFonts w:ascii="Open Sans" w:cs="Open Sans" w:eastAsia="Open Sans" w:hAnsi="Open Sans"/>
          <w:color w:val="FFFFFF"/>
          <w:sz w:val="2"/>
          <w:szCs w:val="2"/>
        </w:rPr>
        <w:t xml:space="preserve">The Inflection — Two Diverging Engines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The Inflection — Two Diverging Engines</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market Pacific Utility serves is splitting. The two demand engines that ran side by side for years are now moving in opposite directions — and the firm is positioned, by trade mix and recent hiring, to ride the one that is rising. This is the "why now."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Engine</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What’s Happening (2025–2026)</w:t>
            </w:r>
          </w:p>
        </w:tc>
        <w:tc>
          <w:tcPr>
            <w:tcW w:type="dxa" w:w="33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 for Pacific Utility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Residential (cooling)</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Starts and deliveries pulling back across CA, NV, AZ; SoCal price softening; Las Vegas’ slowest February sales in a decade</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developer/builder channel softens — a reason to diversify the bid mix</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Grid &amp; public infra (booming)</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~$1.4T U.S. utility capex 2025–2030; the largest transmission build ever; underground-line and transformer spend up sharply</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firm already self-performs high voltage, undergrounding, and streetlights — the exact scopes the boom demands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Federal &amp; state programs</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IIJA grid modernization, DOE grid-hardening, NEVI EV charging, BEAD broadband, and CA SB 1 for streets</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fundable channels — if the firm is found and prepared early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labor shortage</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Electricians retire faster than they’re replaced; the workforce is projected to shrink as demand rises</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Estimating bandwidth, not demand, becomes the binding constraint — exactly where AI pays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Why Pacific Utility Wins This</w:t>
            </w:r>
          </w:p>
          <w:p>
            <w:pPr>
              <w:keepNext/>
              <w:keepLines/>
              <w:spacing w:after="60" w:before="40" w:line="300"/>
            </w:pPr>
            <w:r>
              <w:rPr>
                <w:rFonts w:ascii="Open Sans" w:cs="Open Sans" w:eastAsia="Open Sans" w:hAnsi="Open Sans"/>
                <w:color w:val="59595B"/>
                <w:sz w:val="20"/>
                <w:szCs w:val="20"/>
              </w:rPr>
              <w:t xml:space="preserve">The demand is moving toward exactly what the firm does best — underground, high voltage, undergrounding, and streetlights — across three states where most rivals are single-state.</w:t>
            </w:r>
          </w:p>
          <w:p>
            <w:pPr>
              <w:keepNext w:val="false"/>
              <w:keepLines/>
              <w:spacing w:after="60" w:before="40" w:line="300"/>
            </w:pPr>
            <w:r>
              <w:rPr>
                <w:rFonts w:ascii="Open Sans" w:cs="Open Sans" w:eastAsia="Open Sans" w:hAnsi="Open Sans"/>
                <w:color w:val="59595B"/>
                <w:sz w:val="20"/>
                <w:szCs w:val="20"/>
              </w:rPr>
              <w:t xml:space="preserve">The moat is real and uncaptured: more than twenty-five years, employee-owned, the only contractor that can self-perform all five underground trades on one schedule — a story no competitor can claim and the firm barely tells online.</w:t>
            </w:r>
          </w:p>
        </w:tc>
      </w:tr>
    </w:tbl>
    <w:p>
      <w:r>
        <w:br w:type="page"/>
      </w:r>
    </w:p>
    <w:p>
      <w:pPr>
        <w:pStyle w:val="Heading1"/>
        <w:keepNext/>
        <w:spacing w:after="120" w:before="360" w:line="240"/>
      </w:pPr>
      <w:r>
        <w:rPr>
          <w:rFonts w:ascii="Open Sans" w:cs="Open Sans" w:eastAsia="Open Sans" w:hAnsi="Open Sans"/>
          <w:color w:val="FFFFFF"/>
          <w:sz w:val="2"/>
          <w:szCs w:val="2"/>
        </w:rPr>
        <w:t xml:space="preserve">How AI Grows Pacific Utility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How AI Grows Pacific Utility</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 get found and trusted (own the answer-engine, the single-source story, and the tri-state lane), win the work (project and permit intelligence plus bid and estimating acceleration on the booming grid and public work), and run leaner and remember (a twenty-five-year knowledge system and more bids per estimator). Every part respects the boundary that protects a fixed-price, safety-critical contractor.</w:t>
      </w:r>
    </w:p>
    <w:p>
      <w:pPr>
        <w:spacing w:after="0" w:before="120"/>
      </w:pPr>
      <w:r>
        <w:t xml:space="preserve"/>
      </w:r>
    </w:p>
    <w:p>
      <w:pPr>
        <w:spacing w:after="80" w:before="120"/>
        <w:jc w:val="center"/>
      </w:pPr>
      <w:r>
        <w:drawing>
          <wp:inline distT="0" distB="0" distL="0" distR="0">
            <wp:extent cx="5715000" cy="3552825"/>
            <wp:effectExtent t="0" r="0" b="0" l="0"/>
            <wp:docPr id="1" name="Pacific Utility AI Engine" descr="Pacific Utility AI Engine" title="Pacific Utility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52825"/>
                    </a:xfrm>
                    <a:prstGeom prst="rect">
                      <a:avLst/>
                    </a:prstGeom>
                  </pic:spPr>
                </pic:pic>
              </a:graphicData>
            </a:graphic>
          </wp:inline>
        </w:drawing>
      </w:r>
    </w:p>
    <w:p>
      <w:pPr>
        <w:spacing w:after="200"/>
        <w:jc w:val="center"/>
      </w:pPr>
      <w:r>
        <w:rPr>
          <w:rFonts w:ascii="Open Sans" w:cs="Open Sans" w:eastAsia="Open Sans" w:hAnsi="Open Sans"/>
          <w:i/>
          <w:iCs/>
          <w:color w:val="59595B"/>
          <w:sz w:val="18"/>
          <w:szCs w:val="18"/>
        </w:rPr>
        <w:t xml:space="preserve">The Engine: Get Found &amp; Trusted, Win the Work, and Run Leaner &amp; Remember</w:t>
      </w:r>
    </w:p>
    <w:p>
      <w:r>
        <w:br w:type="page"/>
      </w:r>
    </w:p>
    <w:p>
      <w:pPr>
        <w:pStyle w:val="Heading1"/>
        <w:keepNext/>
        <w:spacing w:after="120" w:before="360" w:line="240"/>
      </w:pPr>
      <w:r>
        <w:rPr>
          <w:rFonts w:ascii="Open Sans" w:cs="Open Sans" w:eastAsia="Open Sans" w:hAnsi="Open Sans"/>
          <w:color w:val="FFFFFF"/>
          <w:sz w:val="2"/>
          <w:szCs w:val="2"/>
        </w:rPr>
        <w:t xml:space="preserve">The Three Motions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2"/>
                <w:szCs w:val="32"/>
              </w:rPr>
              <w:t xml:space="preserve">The Three Motions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Get Found &amp; Trusted</w:t>
            </w:r>
          </w:p>
          <w:p>
            <w:pPr>
              <w:keepNext w:val="false"/>
              <w:keepLines/>
              <w:spacing w:after="60" w:before="40" w:line="300"/>
            </w:pPr>
            <w:r>
              <w:rPr>
                <w:rFonts w:ascii="Open Sans" w:cs="Open Sans" w:eastAsia="Open Sans" w:hAnsi="Open Sans"/>
                <w:color w:val="59595B"/>
                <w:sz w:val="20"/>
                <w:szCs w:val="20"/>
              </w:rPr>
              <w:t xml:space="preserve">Own "underground / dry / high-voltage utility contractor" across CA, NV, and AZ cities in Google and AI answers; publish the single-source, all-five-trades story no competitor can claim; claim the Rule 20 / undergrounding lane; and merchandise twenty-five years of named work into searchable proof. The whole category is answer-engine-blind — first mover earns compounding, credible authority.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2 — Win the Work</w:t>
            </w:r>
          </w:p>
          <w:p>
            <w:pPr>
              <w:keepNext w:val="false"/>
              <w:keepLines/>
              <w:spacing w:after="60" w:before="40" w:line="300"/>
            </w:pPr>
            <w:r>
              <w:rPr>
                <w:rFonts w:ascii="Open Sans" w:cs="Open Sans" w:eastAsia="Open Sans" w:hAnsi="Open Sans"/>
                <w:color w:val="59595B"/>
                <w:sz w:val="20"/>
                <w:szCs w:val="20"/>
              </w:rPr>
              <w:t xml:space="preserve">Project and permit intelligence flags the developers, master-planned communities, agencies, and utility programs entitling or permitting underground and electrical scope across three states — months early. AI then assembles responsive public and private bids fast and accelerates estimating, so the firm bids more of the booming work before the field crowds 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3 — Run Leaner &amp; Remember</w:t>
            </w:r>
          </w:p>
          <w:p>
            <w:pPr>
              <w:keepNext w:val="false"/>
              <w:keepLines/>
              <w:spacing w:after="60" w:before="40" w:line="300"/>
            </w:pPr>
            <w:r>
              <w:rPr>
                <w:rFonts w:ascii="Open Sans" w:cs="Open Sans" w:eastAsia="Open Sans" w:hAnsi="Open Sans"/>
                <w:color w:val="59595B"/>
                <w:sz w:val="20"/>
                <w:szCs w:val="20"/>
              </w:rPr>
              <w:t xml:space="preserve">Capture twenty-five years of bids, jurisdictional know-how, and conflict-overlay precedents into a searchable memory, and lift the output of every estimator — turning the labor shortage from a ceiling on growth into an advantage over slower rivals.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Boundary That Builds Trust</w:t>
            </w:r>
          </w:p>
          <w:p>
            <w:pPr>
              <w:keepNext w:val="false"/>
              <w:keepLines/>
              <w:spacing w:after="60" w:before="40" w:line="300"/>
            </w:pPr>
            <w:r>
              <w:rPr>
                <w:rFonts w:ascii="Open Sans" w:cs="Open Sans" w:eastAsia="Open Sans" w:hAnsi="Open Sans"/>
                <w:color w:val="59595B"/>
                <w:sz w:val="20"/>
                <w:szCs w:val="20"/>
              </w:rPr>
              <w:t xml:space="preserve">On fixed-price, safety-critical work the rule is simple and absolute: AI assists; the licensed estimator or project manager owns the final price and signs; safety-critical calls stay with the qualified professional. Stated to a developer or an agency, that boundary is a reason to trust the firm — and it is genuinely hard to do well, which makes deploying AI inside it a durable advantage in 2026.</w:t>
            </w:r>
          </w:p>
        </w:tc>
      </w:tr>
    </w:tbl>
    <w:p>
      <w:r>
        <w:br w:type="page"/>
      </w:r>
    </w:p>
    <w:p>
      <w:pPr>
        <w:pStyle w:val="Heading1"/>
        <w:keepNext/>
        <w:spacing w:after="120" w:before="360" w:line="240"/>
      </w:pPr>
      <w:r>
        <w:rPr>
          <w:rFonts w:ascii="Open Sans" w:cs="Open Sans" w:eastAsia="Open Sans" w:hAnsi="Open Sans"/>
          <w:color w:val="FFFFFF"/>
          <w:sz w:val="2"/>
          <w:szCs w:val="2"/>
        </w:rPr>
        <w:t xml:space="preserve">The Program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The Program</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Lead with a modest entry program — real published Technijian rates — that makes the firm found and surfaces the right bids; add the AI estimating and knowledge build as a later expansion, once the entry proves the lift. No invented numbers.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3982"/>
        <w:gridCol w:w="2391"/>
      </w:tblGrid>
      <w:tr>
        <w:trPr>
          <w:cantSplit/>
          <w:tblHeader/>
        </w:trPr>
        <w:tc>
          <w:tcPr>
            <w:tcW w:type="dxa" w:w="2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Entry Program</w:t>
            </w:r>
          </w:p>
        </w:tc>
        <w:tc>
          <w:tcPr>
            <w:tcW w:type="dxa" w:w="39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3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Investment</w:t>
            </w:r>
          </w:p>
        </w:tc>
      </w:tr>
      <w:tr>
        <w:trPr>
          <w:cantSplit/>
        </w:trPr>
        <w:tc>
          <w:tcPr>
            <w:tcW w:type="dxa" w:w="2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Answer-Engine, Tri-State Local &amp; Single-Source</w:t>
            </w:r>
          </w:p>
        </w:tc>
        <w:tc>
          <w:tcPr>
            <w:tcW w:type="dxa" w:w="39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AEO + the single-source story + the Rule 20 / undergrounding lane + a project-proof scoreboard (new)</w:t>
            </w:r>
          </w:p>
        </w:tc>
        <w:tc>
          <w:tcPr>
            <w:tcW w:type="dxa" w:w="23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006DB6"/>
                <w:sz w:val="20"/>
                <w:szCs w:val="20"/>
              </w:rPr>
              <w:t xml:space="preserve">$500–$1,500/mo*</w:t>
            </w:r>
          </w:p>
        </w:tc>
      </w:tr>
      <w:tr>
        <w:trPr>
          <w:cantSplit/>
        </w:trPr>
        <w:tc>
          <w:tcPr>
            <w:tcW w:type="dxa" w:w="2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Project, Permit &amp; Account Intelligence (Starter)</w:t>
            </w:r>
          </w:p>
        </w:tc>
        <w:tc>
          <w:tcPr>
            <w:tcW w:type="dxa" w:w="39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Early project/permit/program intelligence across CA, NV, AZ; relationship-led, not volume</w:t>
            </w:r>
          </w:p>
        </w:tc>
        <w:tc>
          <w:tcPr>
            <w:tcW w:type="dxa" w:w="23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006DB6"/>
                <w:sz w:val="20"/>
                <w:szCs w:val="20"/>
              </w:rPr>
              <w:t xml:space="preserve">$1,499/mo* + $2,500 setup</w:t>
            </w:r>
          </w:p>
        </w:tc>
      </w:tr>
      <w:tr>
        <w:trPr>
          <w:cantSplit/>
        </w:trPr>
        <w:tc>
          <w:tcPr>
            <w:tcW w:type="dxa" w:w="2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Readiness Workshop + Content Engine</w:t>
            </w:r>
          </w:p>
        </w:tc>
        <w:tc>
          <w:tcPr>
            <w:tcW w:type="dxa" w:w="39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Leadership alignment, the boundary, and the content engine</w:t>
            </w:r>
          </w:p>
        </w:tc>
        <w:tc>
          <w:tcPr>
            <w:tcW w:type="dxa" w:w="23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F67D4B"/>
                <w:sz w:val="20"/>
                <w:szCs w:val="20"/>
              </w:rPr>
              <w:t xml:space="preserve">TBD — discovery</w:t>
            </w:r>
          </w:p>
        </w:tc>
      </w:tr>
      <w:tr>
        <w:trPr>
          <w:cantSplit/>
        </w:trPr>
        <w:tc>
          <w:tcPr>
            <w:tcW w:type="dxa" w:w="2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w:t>
            </w:r>
          </w:p>
        </w:tc>
        <w:tc>
          <w:tcPr>
            <w:tcW w:type="dxa" w:w="39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new growth layer: My SEO + Lead Gen Starter + the TBD workshop — starts small, no large build</w:t>
            </w:r>
          </w:p>
        </w:tc>
        <w:tc>
          <w:tcPr>
            <w:tcW w:type="dxa" w:w="23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Published + TBD</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Real published Technijian list rates. My SEO published tiers run $500–$1,500/mo (final tier set in discovery); My AI Lead Gen Starter is $1,499/mo plus a one-time $2,500 setup. The AI estimating, bid-assembly, and institutional-knowledge build, managed app services, and the fractional advisor are the Phase-2 expansion — no published rate, scoped in discovery. The Year-1 total is finalized then; no invented numbers.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We’ll Measure the Return</w:t>
            </w:r>
          </w:p>
          <w:p>
            <w:pPr>
              <w:keepNext w:val="false"/>
              <w:keepLines/>
              <w:spacing w:after="60" w:before="40" w:line="300"/>
            </w:pPr>
            <w:r>
              <w:rPr>
                <w:rFonts w:ascii="Open Sans" w:cs="Open Sans" w:eastAsia="Open Sans" w:hAnsi="Open Sans"/>
                <w:color w:val="59595B"/>
                <w:sz w:val="20"/>
                <w:szCs w:val="20"/>
              </w:rPr>
              <w:t xml:space="preserve">We do not lead with a multiple we cannot back. Year-1 return is modeled from real levers — more bids won, estimator throughput, and authority inbound — each tied to a number Pacific Utility already tracks (bid volume, win rate, average job size, estimating capacity). Targets are set from those baselines in discovery, and in this market a single additional grid or public-works award can outweigh the entire program cost. Illustrative until then — no number we can’t back.</w:t>
            </w:r>
          </w:p>
        </w:tc>
      </w:tr>
    </w:tbl>
    <w:p>
      <w:r>
        <w:br w:type="page"/>
      </w:r>
    </w:p>
    <w:p>
      <w:pPr>
        <w:pStyle w:val="Heading1"/>
        <w:keepNext/>
        <w:spacing w:after="120" w:before="360" w:line="240"/>
      </w:pPr>
      <w:r>
        <w:rPr>
          <w:rFonts w:ascii="Open Sans" w:cs="Open Sans" w:eastAsia="Open Sans" w:hAnsi="Open Sans"/>
          <w:color w:val="FFFFFF"/>
          <w:sz w:val="2"/>
          <w:szCs w:val="2"/>
        </w:rPr>
        <w:t xml:space="preserve">The Roadmap &amp; Next Step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The Roadmap &amp; Next Step</w:t>
            </w:r>
          </w:p>
        </w:tc>
      </w:tr>
    </w:tbl>
    <w:p>
      <w:pPr>
        <w:spacing w:after="0" w:before="120"/>
      </w:pPr>
      <w:r>
        <w:t xml:space="preserve"/>
      </w:r>
    </w:p>
    <w:p>
      <w:pPr>
        <w:spacing w:after="80" w:before="120"/>
        <w:jc w:val="center"/>
      </w:pPr>
      <w:r>
        <w:drawing>
          <wp:inline distT="0" distB="0" distL="0" distR="0">
            <wp:extent cx="5715000" cy="2486025"/>
            <wp:effectExtent t="0" r="0" b="0" l="0"/>
            <wp:docPr id="1" name="Pacific Utility 90-180-270 Day Roadmap" descr="Pacific Utility 90-180-270 Day Roadmap" title="Pacific Utility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Open Sans" w:cs="Open Sans" w:eastAsia="Open Sans" w:hAnsi="Open Sans"/>
          <w:i/>
          <w:iCs/>
          <w:color w:val="59595B"/>
          <w:sz w:val="18"/>
          <w:szCs w:val="18"/>
        </w:rPr>
        <w:t xml:space="preserve">90 / 180 / 270-Day Roadmap: Foundation, Win the Work, then Run Leaner &amp; Remember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confirm the baselines and the program scope.</w:t>
            </w:r>
          </w:p>
          <w:p>
            <w:pPr>
              <w:keepNext/>
              <w:keepLines/>
              <w:spacing w:after="60" w:before="40" w:line="300"/>
            </w:pPr>
            <w:r>
              <w:rPr>
                <w:rFonts w:ascii="Open Sans" w:cs="Open Sans" w:eastAsia="Open Sans" w:hAnsi="Open Sans"/>
                <w:color w:val="59595B"/>
                <w:sz w:val="20"/>
                <w:szCs w:val="20"/>
              </w:rPr>
              <w:t xml:space="preserve">Step 2: Technijian returns a calibrated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the answer-engine foundation, the single-source story, and the proof scoreboard — inside 30 days.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280"/>
              <w:left w:type="dxa" w:w="400"/>
              <w:bottom w:type="dxa" w:w="280"/>
              <w:right w:type="dxa" w:w="400"/>
            </w:tcMar>
          </w:tcPr>
          <w:p>
            <w:pPr>
              <w:spacing w:after="100"/>
              <w:jc w:val="center"/>
            </w:pPr>
            <w:r>
              <w:rPr>
                <w:rFonts w:ascii="Open Sans" w:cs="Open Sans" w:eastAsia="Open Sans" w:hAnsi="Open Sans"/>
                <w:b/>
                <w:bCs/>
                <w:color w:val="FFFFFF"/>
                <w:sz w:val="26"/>
                <w:szCs w:val="26"/>
              </w:rPr>
              <w:t xml:space="preserve">You’ve built the contractor. Let’s build the growth engine.</w:t>
            </w:r>
          </w:p>
          <w:p>
            <w:pPr>
              <w:jc w:val="center"/>
            </w:pPr>
            <w:r>
              <w:rPr>
                <w:rFonts w:ascii="Open Sans" w:cs="Open Sans" w:eastAsia="Open Sans" w:hAnsi="Open Sans"/>
                <w:color w:val="FFFFFF"/>
                <w:sz w:val="22"/>
                <w:szCs w:val="22"/>
              </w:rPr>
              <w:t xml:space="preserve">Ravi Jain, Technijian  |  RJain@technijian.com  |  949.379.8499  |  technijian.com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6002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333375"/>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Open Sans" w:cs="Open Sans" w:eastAsia="Open Sans" w:hAnsi="Open Sans"/>
      <w:b/>
      <w:bCs/>
      <w:color w:val="FFFFFF"/>
      <w:sz w:val="2"/>
      <w:szCs w:val="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842f6584753f224348dff00d7332c8a7feff75d6.png"/><Relationship Id="rId11" Type="http://schemas.openxmlformats.org/officeDocument/2006/relationships/image" Target="media/381e2904ca5ae0ea30b6597c8929b9b174fcf8d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2026-06-03T16:47:34.696Z</dcterms:created>
  <dcterms:modified xsi:type="dcterms:W3CDTF">2026-06-03T16:47:34.698Z</dcterms:modified>
</cp:coreProperties>
</file>

<file path=docProps/custom.xml><?xml version="1.0" encoding="utf-8"?>
<Properties xmlns="http://schemas.openxmlformats.org/officeDocument/2006/custom-properties" xmlns:vt="http://schemas.openxmlformats.org/officeDocument/2006/docPropsVTypes"/>
</file>