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rPr>
          <w:trHeight w:val="9600" w:hRule="atLeast"/>
        </w:trPr>
        <w:tc>
          <w:tcPr>
            <w:tcW w:type="dxa" w:w="10512"/>
            <w:shd w:val="clear" w:color="auto" w:fill="1A1A2E"/>
            <w:tcMar>
              <w:top w:w="360" w:type="dxa"/>
              <w:left w:w="400" w:type="dxa"/>
              <w:bottom w:w="360" w:type="dxa"/>
              <w:right w:w="4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52"/>
              </w:rPr>
              <w:t>TECHNIJIAN</w:t>
            </w:r>
            <w:r>
              <w:rPr>
                <w:rFonts w:ascii="Open Sans" w:hAnsi="Open Sans" w:eastAsia="Open Sans" w:cs="Open Sans"/>
                <w:b/>
                <w:i w:val="0"/>
                <w:color w:val="F67D4B"/>
                <w:sz w:val="52"/>
              </w:rPr>
              <w:t>.</w:t>
            </w:r>
          </w:p>
          <w:p>
            <w:pPr>
              <w:spacing w:before="0" w:after="240" w:line="240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EAAC8"/>
                <w:sz w:val="14"/>
              </w:rPr>
              <w:t>TECHNOLOGY AS A SOLUTION</w:t>
            </w:r>
          </w:p>
          <w:p>
            <w:pPr>
              <w:spacing w:before="360" w:after="12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EAAC8"/>
                <w:sz w:val="18"/>
              </w:rPr>
              <w:t>CUSTOMER PERSONAS  |  SALES + MARKETING REFERENCE</w:t>
            </w:r>
          </w:p>
          <w:p>
            <w:pPr>
              <w:spacing w:before="40" w:after="8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68"/>
              </w:rPr>
              <w:t>Who We Sell To</w:t>
            </w:r>
          </w:p>
          <w:p>
            <w:pPr>
              <w:spacing w:before="0" w:after="200" w:line="300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FFFFFF"/>
                <w:sz w:val="24"/>
              </w:rPr>
              <w:t xml:space="preserve">Thirteen buyer profiles built for sales plays, campaign targeting, messaging, and pricing. </w:t>
            </w:r>
            <w:r>
              <w:rPr>
                <w:rFonts w:ascii="Open Sans" w:hAnsi="Open Sans" w:eastAsia="Open Sans" w:cs="Open Sans"/>
                <w:b/>
                <w:i w:val="0"/>
                <w:color w:val="F67D4B"/>
                <w:sz w:val="24"/>
              </w:rPr>
              <w:t>Every persona is validated against a real Technijian win.</w:t>
            </w:r>
          </w:p>
          <w:p>
            <w:pPr>
              <w:spacing w:before="160" w:after="0" w:line="276" w:lineRule="auto"/>
              <w:pBdr>
                <w:bottom w:val="single" w:sz="8" w:space="1" w:color="F67D4B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28"/>
              <w:gridCol w:w="2628"/>
              <w:gridCol w:w="2628"/>
              <w:gridCol w:w="2628"/>
            </w:tblGrid>
            <w:tr>
              <w:tc>
                <w:tcPr>
                  <w:tcW w:type="dxa" w:w="2448"/>
                  <w:shd w:val="clear" w:color="auto" w:fill="1A1A2E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>
                  <w:pPr>
                    <w:spacing w:before="0" w:after="4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52"/>
                    </w:rPr>
                    <w:t>13</w:t>
                  </w:r>
                </w:p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16"/>
                    </w:rPr>
                    <w:t>TOTAL PERSONAS</w:t>
                  </w:r>
                </w:p>
              </w:tc>
              <w:tc>
                <w:tcPr>
                  <w:tcW w:type="dxa" w:w="2448"/>
                  <w:shd w:val="clear" w:color="auto" w:fill="1A1A2E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>
                  <w:pPr>
                    <w:spacing w:before="0" w:after="4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52"/>
                    </w:rPr>
                    <w:t>10</w:t>
                  </w:r>
                </w:p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16"/>
                    </w:rPr>
                    <w:t>INDUSTRY VERTICALS</w:t>
                  </w:r>
                </w:p>
              </w:tc>
              <w:tc>
                <w:tcPr>
                  <w:tcW w:type="dxa" w:w="2448"/>
                  <w:shd w:val="clear" w:color="auto" w:fill="1A1A2E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>
                  <w:pPr>
                    <w:spacing w:before="0" w:after="4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52"/>
                    </w:rPr>
                    <w:t>6</w:t>
                  </w:r>
                </w:p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16"/>
                    </w:rPr>
                    <w:t>TIER-1 PRIMARY ICPS</w:t>
                  </w:r>
                </w:p>
              </w:tc>
              <w:tc>
                <w:tcPr>
                  <w:tcW w:type="dxa" w:w="2448"/>
                  <w:shd w:val="clear" w:color="auto" w:fill="1A1A2E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>
                  <w:pPr>
                    <w:spacing w:before="0" w:after="4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52"/>
                    </w:rPr>
                    <w:t>3</w:t>
                  </w:r>
                </w:p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16"/>
                    </w:rPr>
                    <w:t>HORIZONTAL BUYER ROLES</w:t>
                  </w:r>
                </w:p>
              </w:tc>
            </w:tr>
          </w:tbl>
          <w:p/>
        </w:tc>
      </w:tr>
    </w:tbl>
    <w:p>
      <w:pPr>
        <w:spacing w:before="80" w:after="0" w:line="276" w:lineRule="auto"/>
      </w:pPr>
    </w:p>
    <w:p>
      <w:pPr>
        <w:spacing w:before="160" w:after="0" w:line="276" w:lineRule="auto"/>
        <w:pBdr>
          <w:bottom w:val="single" w:sz="24" w:space="1" w:color="006DB6"/>
        </w:pBdr>
      </w:pPr>
    </w:p>
    <w:p>
      <w:pPr>
        <w:spacing w:before="160" w:after="40" w:line="276" w:lineRule="auto"/>
      </w:pPr>
      <w:r>
        <w:rPr>
          <w:rFonts w:ascii="Open Sans" w:hAnsi="Open Sans" w:eastAsia="Open Sans" w:cs="Open Sans"/>
          <w:b/>
          <w:i w:val="0"/>
          <w:color w:val="006DB6"/>
          <w:sz w:val="18"/>
        </w:rPr>
        <w:t>EXECUTIVE SUMMARY</w:t>
      </w:r>
    </w:p>
    <w:p>
      <w:pPr>
        <w:spacing w:before="0" w:after="40" w:line="264" w:lineRule="auto"/>
      </w:pPr>
      <w:r>
        <w:rPr>
          <w:rFonts w:ascii="Open Sans" w:hAnsi="Open Sans" w:eastAsia="Open Sans" w:cs="Open Sans"/>
          <w:b/>
          <w:i w:val="0"/>
          <w:color w:val="1A1A2E"/>
          <w:sz w:val="40"/>
        </w:rPr>
        <w:t>Why these personas, how to use them</w:t>
      </w:r>
    </w:p>
    <w:p>
      <w:pPr>
        <w:spacing w:before="0" w:after="160" w:line="324" w:lineRule="auto"/>
      </w:pPr>
      <w:r>
        <w:rPr>
          <w:rFonts w:ascii="Open Sans" w:hAnsi="Open Sans" w:eastAsia="Open Sans" w:cs="Open Sans"/>
          <w:b w:val="0"/>
          <w:i w:val="0"/>
          <w:color w:val="59595B"/>
          <w:sz w:val="22"/>
        </w:rPr>
        <w:t>Technijian sells on two axes - industry vertical (how they buy) and buyer role (who signs). Every deal addresses at least one of each.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5184"/>
            <w:shd w:val="clear" w:color="auto" w:fill="F8F9FA"/>
            <w:tcMar>
              <w:top w:w="200" w:type="dxa"/>
              <w:left w:w="220" w:type="dxa"/>
              <w:bottom w:w="200" w:type="dxa"/>
              <w:right w:w="220" w:type="dxa"/>
            </w:tcMar>
            <w:tcBorders>
              <w:top w:val="nil"/>
              <w:left w:val="single" w:sz="32" w:color="006DB6"/>
              <w:bottom w:val="nil"/>
              <w:right w:val="nil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18"/>
              </w:rPr>
              <w:t>VERTICAL AXIS</w:t>
            </w:r>
          </w:p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6"/>
              </w:rPr>
              <w:t>Industry-primary decision-maker</w:t>
            </w:r>
          </w:p>
          <w:p>
            <w:pPr>
              <w:spacing w:before="0" w:after="0" w:line="32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20"/>
              </w:rPr>
              <w:t>Regulation, operations, and language differ so radically by industry that a healthcare admin and a defense manufacturer buy cybersecurity differently. 10 vertical personas capture this. Lead the pitch with the vertical.</w:t>
            </w:r>
          </w:p>
        </w:tc>
        <w:tc>
          <w:tcPr>
            <w:tcW w:type="dxa" w:w="5184"/>
            <w:shd w:val="clear" w:color="auto" w:fill="F8F9FA"/>
            <w:tcMar>
              <w:top w:w="200" w:type="dxa"/>
              <w:left w:w="220" w:type="dxa"/>
              <w:bottom w:w="200" w:type="dxa"/>
              <w:right w:w="220" w:type="dxa"/>
            </w:tcMar>
            <w:tcBorders>
              <w:top w:val="nil"/>
              <w:left w:val="single" w:sz="32" w:color="F67D4B"/>
              <w:bottom w:val="nil"/>
              <w:right w:val="nil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8"/>
              </w:rPr>
              <w:t>HORIZONTAL AXIS</w:t>
            </w:r>
          </w:p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6"/>
              </w:rPr>
              <w:t>Cross-industry buyer role</w:t>
            </w:r>
          </w:p>
          <w:p>
            <w:pPr>
              <w:spacing w:before="0" w:after="0" w:line="32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20"/>
              </w:rPr>
              <w:t>Inside any account, multiple people shape the purchase: CFO (economic buyer), IT Director (co-managed technical counterpart), and Marketing Director (growth-side). 3 horizontal personas capture these - loop them in early.</w:t>
            </w:r>
          </w:p>
        </w:tc>
      </w:tr>
    </w:tbl>
    <w:p/>
    <w:p>
      <w:pPr>
        <w:spacing w:before="200" w:after="120" w:line="276" w:lineRule="auto"/>
      </w:pPr>
      <w:r>
        <w:rPr>
          <w:rFonts w:ascii="Open Sans" w:hAnsi="Open Sans" w:eastAsia="Open Sans" w:cs="Open Sans"/>
          <w:b/>
          <w:i w:val="0"/>
          <w:color w:val="1EAAC8"/>
          <w:sz w:val="18"/>
        </w:rPr>
        <w:t>HOW TO USE</w:t>
      </w:r>
    </w:p>
    <w:p>
      <w:pPr>
        <w:spacing w:before="0" w:after="160" w:line="276" w:lineRule="auto"/>
      </w:pPr>
      <w:r>
        <w:rPr>
          <w:rFonts w:ascii="Open Sans" w:hAnsi="Open Sans" w:eastAsia="Open Sans" w:cs="Open Sans"/>
          <w:b/>
          <w:i w:val="0"/>
          <w:color w:val="1A1A2E"/>
          <w:sz w:val="30"/>
        </w:rPr>
        <w:t>Four plays, same personas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592"/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tcBorders>
              <w:top w:val="single" w:sz="24" w:color="006DB6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22"/>
              </w:rPr>
              <w:t>SALES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Match prospect to 1 vertical + 1 horizontal on call 1. Use Pain Points as interview script. Anti-Persona flags disqualify fast.</w:t>
            </w:r>
          </w:p>
        </w:tc>
        <w:tc>
          <w:tcPr>
            <w:tcW w:type="dxa" w:w="2592"/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tcBorders>
              <w:top w:val="single" w:sz="24" w:color="F67D4B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22"/>
              </w:rPr>
              <w:t>MARKETING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LinkedIn title/industry filters come from Identity + Organization. Ad hooks come from Top Pains. CTAs come from Triggers.</w:t>
            </w:r>
          </w:p>
        </w:tc>
        <w:tc>
          <w:tcPr>
            <w:tcW w:type="dxa" w:w="2592"/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tcBorders>
              <w:top w:val="single" w:sz="24" w:color="1EAAC8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EAAC8"/>
                <w:sz w:val="22"/>
              </w:rPr>
              <w:t>PRODUCT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Pricing tiers, SLA structure, reporting formats, and contract preferences in Buying Behavior drive packaging decisions.</w:t>
            </w:r>
          </w:p>
        </w:tc>
        <w:tc>
          <w:tcPr>
            <w:tcW w:type="dxa" w:w="2592"/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tcBorders>
              <w:top w:val="single" w:sz="24" w:color="CBDB2D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CBDB2D"/>
                <w:sz w:val="22"/>
              </w:rPr>
              <w:t>ACCOUNT PLAN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Success Metrics + Communication Prefs set QBR cadence. Key Stakeholders + Influencers identify the account-plan map.</w:t>
            </w:r>
          </w:p>
        </w:tc>
      </w:tr>
    </w:tbl>
    <w:p>
      <w:pPr>
        <w:pageBreakBefore/>
        <w:spacing w:before="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1A1A2E"/>
            <w:tcMar>
              <w:top w:w="260" w:type="dxa"/>
              <w:left w:w="300" w:type="dxa"/>
              <w:bottom w:w="260" w:type="dxa"/>
              <w:right w:w="300" w:type="dxa"/>
            </w:tcMar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20"/>
              </w:rPr>
              <w:t>TIER 1 - PRIMARY ICPS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8"/>
              </w:rPr>
              <w:t>Six personas. Highest Year-1 ARR ($40K-$300K). Compliance-heavy sales motions, technical depth required.</w:t>
            </w:r>
          </w:p>
        </w:tc>
      </w:tr>
    </w:tbl>
    <w:p>
      <w:pPr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006DB6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02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Angela Santos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Practice Administrator / COO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8"/>
                    </w:rPr>
                    <w:t>TIER 1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Healthcare (multi-site clinic / medical group)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25-300 emp | $5M-$60M rev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$60K-$180K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EHR downtime during clinic halts documentation and patient flow.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OCR breach-notification nightmare: PHI in sent folder, unclear 60-day clock.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HIPAA training and phishing awareness on autopilot with no real adherence.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Cyber insurance renewal tightens HIPAA requirements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PE acquisition due diligence reveals IT gaps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Staff email compromise / peer ransomware event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IT + HIPAA, My Compliance HIPAA, My Continuity, Chat.AI Healthcare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"Do you have healthcare-specific references?"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"Our EHR vendor won't let anyone else touch integrations"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Signed BAA pre-engagement, 24/7 SOC with IR SLA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Healthcare-specific customer references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HIPAA-fluent vCISO / vCCO on retainer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"HIPAA-fluent managed IT. No more translating between your MSP and your attorney."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 want the docs to not know anything about IT. I want them to see patients. That's my job."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MGMA Annual (Oct) | OCMA chapter | HIPAA Journal | Becker's ASC Review</w:t>
                  </w:r>
                </w:p>
              </w:tc>
            </w:tr>
          </w:tbl>
          <w:p/>
        </w:tc>
      </w:tr>
    </w:tbl>
    <w:p>
      <w:pPr>
        <w:pageBreakBefore/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006DB6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03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Brian O'Connell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Chief Compliance Officer / Ops Principal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8"/>
                    </w:rPr>
                    <w:t>TIER 1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Financial Services (Broker-Dealer, RIA, Wealth)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15-500 emp | $3M-$100M AUM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$75K-$250K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Advisor off-channel texting/iMessage compliant on paper, uncontrolled in reality.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No AI governance - advisors paste client data into ChatGPT unmonitored.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Vendor risk program is manual spreadsheets with overdue Tier-1 reviews.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Upcoming FINRA / SEC exam or deficiency letter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Peer enforcement action announced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M&amp;A integration or Reg S-P amendment deadline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Security (SOC+SIEM+EDR), My Compliance vCCO, My Continuity (WORM)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"Do you have BD/RIA references?"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"How do you integrate with Smarsh / Global Relay?"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SOC 2 Type II on vendor (non-negotiable)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15-min IR SLA + 72-hour Reg S-P playbook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WORM archiving integration (Smarsh/Global Relay)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"Compliance-fluent IT for broker-dealers, RIAs, and wealth managers."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"I'll spend 20% more for the firm that can handle a 72-hour Reg S-P clock. That calculus is not close."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NSCP Annual (Oct) | Schwab IMPACT (Nov) | IA Watch newsletter</w:t>
                  </w:r>
                </w:p>
              </w:tc>
            </w:tr>
          </w:tbl>
          <w:p/>
        </w:tc>
      </w:tr>
    </w:tbl>
    <w:p>
      <w:pPr>
        <w:pageBreakBefore/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006DB6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04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Greg Mahoney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COO / VP Operations / GM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8"/>
                    </w:rPr>
                    <w:t>TIER 1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Defense / Precision Manufacturing (DIB)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40-400 emp | $10M-$150M rev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$90K-$300K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CMMC 2.0 Level 2 - 110 NIST 800-171 controls MSP can't read.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CUI scoping undefined across ERP, CAD, email, shop floor.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Legacy ERP on Server 2012 that can't patch but must segment.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Prime contractor requires CMMC L2 on new RFP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Contract loss risk without certification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DCSA / DCMA inspection scheduled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Compliance CMMC, My Cloud GCC High, My Security (CMMC SOC)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"CMMC will kill us, we can't afford it"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"Our current MSP says they can do CMMC"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CMMC / NIST 800-171 depth with sample SSP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DIB client references (existing prime flowdown)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GCC High migration experience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"CMMC Level 2 readiness on your timeline - without losing your prime."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"My #1 customer just sent a flowdown saying I need CMMC Level 2. I have 14 months. My MSP doesn't know what an SSP is."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NDIA | AIA / AUSA events | CMMC Day / CMMC-AB events</w:t>
                  </w:r>
                </w:p>
              </w:tc>
            </w:tr>
          </w:tbl>
          <w:p/>
        </w:tc>
      </w:tr>
    </w:tbl>
    <w:p>
      <w:pPr>
        <w:pageBreakBefore/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006DB6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05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Priya Sharma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CTO / Founding Engineer / VP Eng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8"/>
                    </w:rPr>
                    <w:t>TIER 1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B2B SaaS Startup (Seed - Series B)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15-150 emp | $500K-$20M ARR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$40K-$150K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SOC 2 Type II on critical path - enterprise deals blocked.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Security questionnaires eat 2-3 weeks per deal, no repeatable answers.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No dedicated security engineer - she IS the SOC plus her CTO job.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Enterprise deal gated on SOC 2 Type II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Series A / B funding close approaching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First regulated customer (HIPAA/PCI/FedRAMP)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Compliance SOC 2, My Security 24/7 SOC, My Cloud (AWS/Azure)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"Vanta / Drata handles this, why do I need you?"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"Show me your own SOC 2"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Technijian's own SOC 2 Type II on file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AWS / Azure Well-Architected depth (IAM, KMS)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Startup-friendly commercial terms, evidence automation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"SOC 2 Type II in 90-120 days. 24/7 SOC. Audit-friendly evidence automation."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 have three enterprise deals waiting on SOC 2 Type II. Sales wants it yesterday. I'm one person on security."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AWS re:Invent (Dec) | Pragmatic Engineer newsletter | Hacker News / Rands Slack</w:t>
                  </w:r>
                </w:p>
              </w:tc>
            </w:tr>
          </w:tbl>
          <w:p/>
        </w:tc>
      </w:tr>
    </w:tbl>
    <w:p>
      <w:pPr>
        <w:pageBreakBefore/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006DB6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06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Catherine Weiss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Managing Partner / Firm Administrator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8"/>
                    </w:rPr>
                    <w:t>TIER 1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Law Firm (litigation, corporate, IP)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40-400 total | $10M-$100M rev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$60K-$200K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Attorneys use personal email for transfers, leaking client-confidential data.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DMS is a nightmare - 20 yrs of docs, broken search, attorneys save to desktop.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Corporate-client security questionnaires consume firm admin + outside IT.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Lateral partner group onboarding (data migration)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Corporate client cyber addendum signed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Wire-fraud attempt or peer ransomware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IT + Office, My Security, My Compliance Guardian + Vault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"Our DMS vendor says to use their IT partner only"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"The partners will never agree to change"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Legal-industry references and NDA pre-access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DMS experience (iManage / NetDocs / Worldox)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Duty-of-technology-competence narrative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"IT built for the duty of technology competence."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"I'll pay for quiet. I'll pay double for quiet. What I won't pay for is excuses."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ILTACON (Aug) | ABA Techshow (Mar) | ALA / OCBA chapters</w:t>
                  </w:r>
                </w:p>
              </w:tc>
            </w:tr>
          </w:tbl>
          <w:p/>
        </w:tc>
      </w:tr>
    </w:tbl>
    <w:p>
      <w:pPr>
        <w:pageBreakBefore/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006DB6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11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Sarah Okafor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IT Director / VP IT (Co-Managed)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8"/>
                    </w:rPr>
                    <w:t>TIER 1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Cross-Industry Mid-Market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100-800 emp | $30M-$500M rev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$60K-$250K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24/7 coverage on a 9-to-6 team - on-call burns engineers, drives turnover.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Specialist skills she can't hire for (Azure, security, K8s) - FTE ROI doesn't pencil.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Project burst consumes 50% of team for 6 months; BAU slips.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Major project (cloud mig / ERP / SOC 2 / M&amp;A)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Key engineer resigns without warning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CFO mandates 24/7 coverage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IT Co-Managed, My Security (SOC), My Cloud specialists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 don't want a vendor replacing my team"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"I've been burned by MSPs before"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Co-managed model - extend not replace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RACI documented pre-contract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Technijian's own SOC 2 Type II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"Extend your team - don't replace it. Co-managed IT that respects your ops."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"My senior engineer is going to quit if he's on-call one more weekend. I can't hire fast enough. I need a partner, not a replacement."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SIM local chapter | Gartner IT Symposium | ISACA / ISSA OC chapter</w:t>
                  </w:r>
                </w:p>
              </w:tc>
            </w:tr>
          </w:tbl>
          <w:p/>
        </w:tc>
      </w:tr>
    </w:tbl>
    <w:p>
      <w:pPr>
        <w:pageBreakBefore/>
        <w:spacing w:before="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1A1A2E"/>
            <w:tcMar>
              <w:top w:w="260" w:type="dxa"/>
              <w:left w:w="300" w:type="dxa"/>
              <w:bottom w:w="260" w:type="dxa"/>
              <w:right w:w="300" w:type="dxa"/>
            </w:tcMar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20"/>
              </w:rPr>
              <w:t>TIER 2 - PROVEN SECONDARY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8"/>
              </w:rPr>
              <w:t>Four personas. ROI-anchored, faster cycles. CFO co-signatory on deals &gt;$50K.</w:t>
            </w:r>
          </w:p>
        </w:tc>
      </w:tr>
    </w:tbl>
    <w:p>
      <w:pPr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F67D4B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01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Mark Tanaka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SMB Owner / CEO / Founder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>TIER 2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Orange County Professional Services SMB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20-100 emp | $5M-$30M rev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$30K-$90K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One-person MSP is single-point-of-failure; no backup when "IT guy" is unavailable.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No asset inventory, no passwords in one place - institutional knowledge lives in one head.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Cyber insurance questionnaires getting longer; faking answers because he doesn't know.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Outage that stopped revenue for half a day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Insurance carrier imposes cybersecurity requirements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Acquisition interest / exit-prep diligence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IT, My Office, My Security, My Continuity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"It's too expensive - my current guy is $X"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 don't want to sign a long-term contract"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Single accountable team (pod model)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Local OC presence, same-time-zone techs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60-day out-clause, transparent monthly invoice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"Run your business. We'll run your IT."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 just want to call one number. I don't want to figure out if it's a printer problem or a network problem or a Microsoft problem."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Vistage / EO peer groups | OC Business Journal events | Chamber of Commerce (Irvine, Newport, Anaheim)</w:t>
                  </w:r>
                </w:p>
              </w:tc>
            </w:tr>
          </w:tbl>
          <w:p/>
        </w:tc>
      </w:tr>
    </w:tbl>
    <w:p>
      <w:pPr>
        <w:pageBreakBefore/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F67D4B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07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Tom Anderson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Broker of Record / Owner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>TIER 2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Residential Real Estate / Property Mgmt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15-250 agents | $5M-$60M GCI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$25K-$100K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Zillow / paid lead channels expensive and declining in conversion.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Agents ignore the CRM - paid $60K/yr for KVCore, half don't log in.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Tech stack sprawl: 8-15 disconnected tools, website on SEO page 3.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Lost a top agent to a better-tech brokerage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NAR settlement fallout changing commissions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Competitor launches AI-powered service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AI Lead Gen, My SEO, My AI Real Estate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"Will my agents actually use this?"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 already have a CRM / marketing firm"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Lead volume impact visible in 60 days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Agent-friendly simplicity (adoption-proof UI)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Month-to-month commercial terms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"More listings. Cheaper per lead. On autopilot."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"Zillow is killing me. I'm paying $8K a month and conversion is dropping. I need something that works."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Inman Connect (Jan/Aug) | NAR Annual (Nov) | Lab Coat Agents FB group</w:t>
                  </w:r>
                </w:p>
              </w:tc>
            </w:tr>
          </w:tbl>
          <w:p/>
        </w:tc>
      </w:tr>
    </w:tbl>
    <w:p>
      <w:pPr>
        <w:pageBreakBefore/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F67D4B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10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Javier Torres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President / Owner / VP Ops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>TIER 2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Construction (Luxury Builder / Commercial GC)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20-200 emp | $15M-$250M rev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$40K-$150K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Luxury buyer lead-gen inconsistent - realtor referrals and stale site.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Site / trailer Wi-Fi patchy; superintendent can't open RFI on site.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Plan files scattered across SharePoint, email, Dropbox, site tablets.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New community / development launch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Stolen trailer laptop with plan sets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Wire-fraud attempt at a closing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AI Lead Gen, My IT (office + site), My Cloud (Azure AD)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"Builders don't need fancy IT"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"Procore is all the software I need"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Construction / builder customer references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Procore / Sage fluency in delivery team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Willingness to do site visits (not just office)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"Luxury buyer leads on autopilot. Site + office IT that actually works."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"A laptop went missing from a trailer last month. I don't know what was on it. I don't know who to call."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International Builders' Show (Feb) | HBA of OC | Builder Magazine</w:t>
                  </w:r>
                </w:p>
              </w:tc>
            </w:tr>
          </w:tbl>
          <w:p/>
        </w:tc>
      </w:tr>
    </w:tbl>
    <w:p>
      <w:pPr>
        <w:pageBreakBefore/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F67D4B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13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Terry Williams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CFO / Controller / VP Finance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>TIER 2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Cross-Industry Mid-Market Economic Buyer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50-800 emp | $10M-$500M rev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Varies (signs all &gt;$50K)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Cyber insurance renewal pain - longer questionnaires, rising premiums.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Audit evidence - auditors ask for IT-control evidence he has to chase.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IT spend transparency - SaaS / vendor / license sprawl hard to optimize.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Cyber insurance renewal window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PE sponsor requiring SOC 2 / security program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M&amp;A prep (buy or sell-side)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Continuity, My Compliance suite, co-signatory on all major deals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"This wasn't in the budget"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"Cheaper alternatives exist"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SOC 2 Type II on vendor (audit-ready)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$5M+ cyber COI + E&amp;O insurance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Written SLAs with credit / remedy structure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"OpEx-predictable IT + compliance that pleases your auditor, your board, and your carrier."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"My cyber renewal questionnaire this year had 60 questions. Our MSP filled out 35. I'm signing an attestation on the other 25."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AFP Annual | FEI Summit / CFO Leadership Council | CFO.com / WSJ CFO Journal</w:t>
                  </w:r>
                </w:p>
              </w:tc>
            </w:tr>
          </w:tbl>
          <w:p/>
        </w:tc>
      </w:tr>
    </w:tbl>
    <w:p>
      <w:pPr>
        <w:pageBreakBefore/>
        <w:spacing w:before="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1A1A2E"/>
            <w:tcMar>
              <w:top w:w="260" w:type="dxa"/>
              <w:left w:w="300" w:type="dxa"/>
              <w:bottom w:w="260" w:type="dxa"/>
              <w:right w:w="300" w:type="dxa"/>
            </w:tcMar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EAAC8"/>
                <w:sz w:val="20"/>
              </w:rPr>
              <w:t>TIER 3 - OPPORTUNISTIC / REFERRAL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8"/>
              </w:rPr>
              <w:t>Three personas. Shorter cycles, smaller ARR ($18K-$120K). Often land inside another persona's account.</w:t>
            </w:r>
          </w:p>
        </w:tc>
      </w:tr>
    </w:tbl>
    <w:p>
      <w:pPr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1EAAC8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08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Denise Washington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Executive Director / COO / CEO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8"/>
                    </w:rPr>
                    <w:t>TIER 3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Non-Profit (social services / faith-based)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10-100 emp | $2M-$25M budget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$18K-$60K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Old hardware everywhere - 6-10 yr donated PCs, refresh only on failure.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Donor database is a mess: duplicates, broken imports, merged records.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No one owns IT - volunteer board member, part-time coord, or MSP junior.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Major grant with IT modernization component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Capital campaign kickoff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Audit finding on IT controls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Office (M365 Non-Profit), My IT (NP SKU), My Cloud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"We can't afford it"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"My board will never approve this"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Non-profit pricing / M365 NP discount awareness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Sector references (other NPs same size)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Data-privacy posture for donor / beneficiary data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"Mission-grade IT at non-profit pricing."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"We had a phishing email a year ago. One of our program managers almost wired $28K to a fake invoice. Keeps me up."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CalNonprofits Annual | NTEN Nonprofit Technology Conf | Chronicle of Philanthropy</w:t>
                  </w:r>
                </w:p>
              </w:tc>
            </w:tr>
          </w:tbl>
          <w:p/>
        </w:tc>
      </w:tr>
    </w:tbl>
    <w:p>
      <w:pPr>
        <w:pageBreakBefore/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1EAAC8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09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Antonio DiMarco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Owner / Multi-Unit Operator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8"/>
                    </w:rPr>
                    <w:t>TIER 3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Hospitality (Restaurants / QSR / Boutique Hotels)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50-500 emp | 3-30 locations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$20K-$70K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Google Maps / SEO / reviews fragmented across locations.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PCI is a mystery - POS vendor claims coverage, merchant controls undocumented.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POS outages during Friday peak cost $12K+ in lost covers per incident.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New unit opening / grand opening push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POS outage at peak service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Credit-card breach at peer restaurant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SEO, My Security (PCI-aligned), My IT (multi-unit)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"My POS vendor does all this"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"SEO is a scam"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Restaurant / hospitality customer references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Off-peak deployment windows (night / Sun AM)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Month-to-month pricing, no long lockup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"More covers. Cleaner PCI. Zero nights lost."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"If it puts asses in seats, I pay. If it doesn't, I don't care what it costs."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National Restaurant Show (Chicago, May) | CRA local chapter | Nation's Restaurant News</w:t>
                  </w:r>
                </w:p>
              </w:tc>
            </w:tr>
          </w:tbl>
          <w:p/>
        </w:tc>
      </w:tr>
    </w:tbl>
    <w:p>
      <w:pPr>
        <w:pageBreakBefore/>
        <w:spacing w:before="8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1008"/>
                  <w:shd w:val="clear" w:color="auto" w:fill="1EAAC8"/>
                  <w:tcMar>
                    <w:top w:w="140" w:type="dxa"/>
                    <w:left w:w="120" w:type="dxa"/>
                    <w:bottom w:w="140" w:type="dxa"/>
                    <w:right w:w="120" w:type="dxa"/>
                  </w:tcMar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40"/>
                    </w:rPr>
                    <w:t>12</w:t>
                  </w:r>
                </w:p>
              </w:tc>
              <w:tc>
                <w:tcPr>
                  <w:tcW w:type="dxa" w:w="7344"/>
                  <w:shd w:val="clear" w:color="auto" w:fill="1A1A2E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8"/>
                    </w:rPr>
                    <w:t>Jennifer Hayes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EAAC8"/>
                      <w:sz w:val="18"/>
                    </w:rPr>
                    <w:t>Director of Marketing / VP Growth</w:t>
                  </w:r>
                </w:p>
              </w:tc>
              <w:tc>
                <w:tcPr>
                  <w:tcW w:type="dxa" w:w="2160"/>
                  <w:shd w:val="clear" w:color="auto" w:fill="1A1A2E"/>
                  <w:tcMar>
                    <w:top w:w="120" w:type="dxa"/>
                    <w:left w:w="120" w:type="dxa"/>
                    <w:bottom w:w="12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8"/>
                    </w:rPr>
                    <w:t>TIER 3</w:t>
                  </w:r>
                </w:p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FFFFFF"/>
                      <w:sz w:val="16"/>
                    </w:rPr>
                    <w:t>ICP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475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4"/>
                    </w:rPr>
                    <w:t>INDUSTRY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Cross-Industry (RE, Hospitality, Construction, B2B, SaaS)</w:t>
                  </w:r>
                </w:p>
              </w:tc>
              <w:tc>
                <w:tcPr>
                  <w:tcW w:type="dxa" w:w="3168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COMPANY SIZE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20-300 emp | $5M-$100M rev</w:t>
                  </w:r>
                </w:p>
              </w:tc>
              <w:tc>
                <w:tcPr>
                  <w:tcW w:type="dxa" w:w="2592"/>
                  <w:shd w:val="clear" w:color="auto" w:fill="F8F9FA"/>
                  <w:tcMar>
                    <w:top w:w="110" w:type="dxa"/>
                    <w:left w:w="160" w:type="dxa"/>
                    <w:bottom w:w="11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YEAR-1 ARR</w:t>
                  </w:r>
                </w:p>
                <w:p>
                  <w:pPr>
                    <w:spacing w:before="0" w:after="0" w:line="288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$30K-$120K Yr-1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20" w:type="dxa"/>
                  </w:tcMar>
                  <w:tcBorders>
                    <w:top w:val="nil"/>
                    <w:left w:val="nil"/>
                    <w:bottom w:val="single" w:sz="4" w:color="E9ECEF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TOP PAIN POINTS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Paid-media inflation - CPMs rising, CPL following, budget flat.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SEO agency disappointment - $2-5K/mo for years, little rank movement.</w:t>
                  </w:r>
                </w:p>
                <w:p>
                  <w:pPr>
                    <w:spacing w:before="0" w:after="4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Content bottleneck - one in-house writer, AI tools hallucinate.</w:t>
                  </w:r>
                </w:p>
                <w:p>
                  <w:pPr>
                    <w:spacing w:before="12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6"/>
                    </w:rPr>
                    <w:t>TRIGGERS &amp; CATALYSTS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New product / location launch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CEO declares "year of AI"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8"/>
                    </w:rPr>
                    <w:t xml:space="preserve">&gt;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Agency contract expiration</w:t>
                  </w:r>
                </w:p>
              </w:tc>
              <w:tc>
                <w:tcPr>
                  <w:tcW w:type="dxa" w:w="5256"/>
                  <w:shd w:val="clear" w:color="auto" w:fill="FFFFFF"/>
                  <w:tcMar>
                    <w:top w:w="160" w:type="dxa"/>
                    <w:left w:w="160" w:type="dxa"/>
                    <w:bottom w:w="100" w:type="dxa"/>
                    <w:right w:w="160" w:type="dxa"/>
                  </w:tcMar>
                  <w:tcBorders>
                    <w:top w:val="nil"/>
                    <w:left w:val="nil"/>
                    <w:bottom w:val="single" w:sz="4" w:color="E9ECEF"/>
                    <w:right w:val="nil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6"/>
                    </w:rPr>
                    <w:t>PRIMARY TECHNIJIAN SERVICES</w:t>
                  </w:r>
                </w:p>
                <w:p>
                  <w:pPr>
                    <w:spacing w:before="0" w:after="100" w:line="312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A1A2E"/>
                      <w:sz w:val="18"/>
                    </w:rPr>
                    <w:t>My SEO, My AI Lead Gen, Chat.AI, My Dev</w:t>
                  </w:r>
                </w:p>
                <w:p>
                  <w:pPr>
                    <w:spacing w:before="4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6"/>
                    </w:rPr>
                    <w:t>TOP OBJECTIONS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"I already have an SEO agency"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59595B"/>
                      <w:sz w:val="18"/>
                    </w:rPr>
                    <w:t xml:space="preserve">-  </w:t>
                  </w: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"How are you different from every SEO firm?"</w:t>
                  </w:r>
                </w:p>
                <w:p>
                  <w:pPr>
                    <w:spacing w:before="10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006DB6"/>
                      <w:sz w:val="16"/>
                    </w:rPr>
                    <w:t>KEY DECISION CRITERIA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Industry case studies with real numbers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Transparent monthly results (rank / leads / CPL)</w:t>
                  </w:r>
                </w:p>
                <w:p>
                  <w:pPr>
                    <w:spacing w:before="0" w:after="20" w:line="300" w:lineRule="auto"/>
                    <w:ind w:left="216" w:hanging="216"/>
                  </w:pPr>
                  <w:r>
                    <w:rPr>
                      <w:rFonts w:ascii="Segoe UI Symbol" w:hAnsi="Segoe UI Symbol" w:eastAsia="Segoe UI Symbol" w:cs="Segoe UI Symbol"/>
                      <w:b/>
                      <w:i w:val="0"/>
                      <w:color w:val="1EAAC8"/>
                      <w:sz w:val="18"/>
                    </w:rPr>
                    <w:t xml:space="preserve">v  </w:t>
                  </w: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1A1A2E"/>
                      <w:sz w:val="18"/>
                    </w:rPr>
                    <w:t>SLA on deliverables and response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12"/>
            </w:tblGrid>
            <w:tr>
              <w:tc>
                <w:tcPr>
                  <w:tcW w:type="dxa" w:w="10512"/>
                  <w:shd w:val="clear" w:color="auto" w:fill="006DB6"/>
                  <w:tcMar>
                    <w:top w:w="130" w:type="dxa"/>
                    <w:left w:w="180" w:type="dxa"/>
                    <w:bottom w:w="130" w:type="dxa"/>
                    <w:right w:w="180" w:type="dxa"/>
                  </w:tcMar>
                </w:tcPr>
                <w:p>
                  <w:pPr>
                    <w:spacing w:before="0" w:after="2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CBDB2D"/>
                      <w:sz w:val="14"/>
                    </w:rPr>
                    <w:t>MESSAGING HEADLINE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FFFFF"/>
                      <w:sz w:val="22"/>
                    </w:rPr>
                    <w:t>"Unlimited SEO. AI-enriched leads. Done-for-you content - without another agency."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256"/>
              <w:gridCol w:w="5256"/>
            </w:tblGrid>
            <w:tr>
              <w:tc>
                <w:tcPr>
                  <w:tcW w:type="dxa" w:w="6336"/>
                  <w:shd w:val="clear" w:color="auto" w:fill="F8F9FA"/>
                  <w:tcMar>
                    <w:top w:w="140" w:type="dxa"/>
                    <w:left w:w="200" w:type="dxa"/>
                    <w:bottom w:w="140" w:type="dxa"/>
                    <w:right w:w="180" w:type="dxa"/>
                  </w:tcMar>
                  <w:tcBorders>
                    <w:top w:val="nil"/>
                    <w:left w:val="single" w:sz="28" w:color="F67D4B"/>
                    <w:bottom w:val="nil"/>
                    <w:right w:val="single" w:sz="4" w:color="E9ECEF"/>
                  </w:tcBorders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F67D4B"/>
                      <w:sz w:val="14"/>
                    </w:rPr>
                    <w:t>VERBATIM QUOTE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/>
                      <w:color w:val="1A1A2E"/>
                      <w:sz w:val="18"/>
                    </w:rPr>
                    <w:t>"We've been with the same SEO agency for 3 years. Our organic traffic is flat. The reports look beautiful. Nothing is moving."</w:t>
                  </w:r>
                </w:p>
              </w:tc>
              <w:tc>
                <w:tcPr>
                  <w:tcW w:type="dxa" w:w="4176"/>
                  <w:shd w:val="clear" w:color="auto" w:fill="F8F9FA"/>
                  <w:tcMar>
                    <w:top w:w="140" w:type="dxa"/>
                    <w:left w:w="160" w:type="dxa"/>
                    <w:bottom w:w="140" w:type="dxa"/>
                    <w:right w:w="180" w:type="dxa"/>
                  </w:tcMar>
                </w:tcPr>
                <w:p>
                  <w:pPr>
                    <w:spacing w:before="0" w:after="40" w:line="276" w:lineRule="auto"/>
                  </w:pPr>
                  <w:r>
                    <w:rPr>
                      <w:rFonts w:ascii="Open Sans" w:hAnsi="Open Sans" w:eastAsia="Open Sans" w:cs="Open Sans"/>
                      <w:b/>
                      <w:i w:val="0"/>
                      <w:color w:val="1EAAC8"/>
                      <w:sz w:val="14"/>
                    </w:rPr>
                    <w:t>WATERING HOLES</w:t>
                  </w:r>
                </w:p>
                <w:p>
                  <w:pPr>
                    <w:spacing w:before="0" w:after="0" w:line="312" w:lineRule="auto"/>
                  </w:pPr>
                  <w:r>
                    <w:rPr>
                      <w:rFonts w:ascii="Open Sans" w:hAnsi="Open Sans" w:eastAsia="Open Sans" w:cs="Open Sans"/>
                      <w:b w:val="0"/>
                      <w:i w:val="0"/>
                      <w:color w:val="59595B"/>
                      <w:sz w:val="16"/>
                    </w:rPr>
                    <w:t>Inbound HubSpot (Sep) | Content Marketing World (Sep) | MarketingProfs</w:t>
                  </w:r>
                </w:p>
              </w:tc>
            </w:tr>
          </w:tbl>
          <w:p/>
        </w:tc>
      </w:tr>
    </w:tbl>
    <w:p>
      <w:pPr>
        <w:pageBreakBefore/>
        <w:spacing w:before="0" w:after="0"/>
      </w:pPr>
    </w:p>
    <w:p>
      <w:pPr>
        <w:spacing w:before="160" w:after="0" w:line="276" w:lineRule="auto"/>
        <w:pBdr>
          <w:bottom w:val="single" w:sz="24" w:space="1" w:color="1EAAC8"/>
        </w:pBdr>
      </w:pPr>
    </w:p>
    <w:p>
      <w:pPr>
        <w:spacing w:before="160" w:after="40" w:line="276" w:lineRule="auto"/>
      </w:pPr>
      <w:r>
        <w:rPr>
          <w:rFonts w:ascii="Open Sans" w:hAnsi="Open Sans" w:eastAsia="Open Sans" w:cs="Open Sans"/>
          <w:b/>
          <w:i w:val="0"/>
          <w:color w:val="1EAAC8"/>
          <w:sz w:val="18"/>
        </w:rPr>
        <w:t>QUICK-REFERENCE</w:t>
      </w:r>
    </w:p>
    <w:p>
      <w:pPr>
        <w:spacing w:before="0" w:after="40" w:line="264" w:lineRule="auto"/>
      </w:pPr>
      <w:r>
        <w:rPr>
          <w:rFonts w:ascii="Open Sans" w:hAnsi="Open Sans" w:eastAsia="Open Sans" w:cs="Open Sans"/>
          <w:b/>
          <w:i w:val="0"/>
          <w:color w:val="1A1A2E"/>
          <w:sz w:val="40"/>
        </w:rPr>
        <w:t>Messaging Matrix</w:t>
      </w:r>
    </w:p>
    <w:p>
      <w:pPr>
        <w:spacing w:before="0" w:after="160" w:line="324" w:lineRule="auto"/>
      </w:pPr>
      <w:r>
        <w:rPr>
          <w:rFonts w:ascii="Open Sans" w:hAnsi="Open Sans" w:eastAsia="Open Sans" w:cs="Open Sans"/>
          <w:b w:val="0"/>
          <w:i w:val="0"/>
          <w:color w:val="59595B"/>
          <w:sz w:val="22"/>
        </w:rPr>
        <w:t>One headline per persona. Use as LinkedIn ad hooks, subject lines, and opening lines in outbound sequences.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720"/>
            <w:shd w:val="clear" w:color="auto" w:fill="1A1A2E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736"/>
            <w:shd w:val="clear" w:color="auto" w:fill="1A1A2E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16"/>
              </w:rPr>
              <w:t>PERSONA</w:t>
            </w:r>
          </w:p>
        </w:tc>
        <w:tc>
          <w:tcPr>
            <w:tcW w:type="dxa" w:w="4752"/>
            <w:shd w:val="clear" w:color="auto" w:fill="1A1A2E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16"/>
              </w:rPr>
              <w:t>MESSAGING HEADLINE</w:t>
            </w:r>
          </w:p>
        </w:tc>
        <w:tc>
          <w:tcPr>
            <w:tcW w:type="dxa" w:w="2304"/>
            <w:shd w:val="clear" w:color="auto" w:fill="1A1A2E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16"/>
              </w:rPr>
              <w:t>YR-1 ARR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67D4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01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Mark Tanaka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SMB Owner / CEO / Founder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Run your business. We'll run your IT.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$30K-$90K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006DB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02</w:t>
            </w:r>
          </w:p>
        </w:tc>
        <w:tc>
          <w:tcPr>
            <w:tcW w:type="dxa" w:w="2736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Angela Santos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Practice Administrator / COO</w:t>
            </w:r>
          </w:p>
        </w:tc>
        <w:tc>
          <w:tcPr>
            <w:tcW w:type="dxa" w:w="4752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HIPAA-fluent managed IT. No more translating between your MSP and your attorney.</w:t>
            </w:r>
          </w:p>
        </w:tc>
        <w:tc>
          <w:tcPr>
            <w:tcW w:type="dxa" w:w="2304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$60K-$180K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006DB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03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Brian O'Connell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Chief Compliance Officer / Ops Principal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Compliance-fluent IT for broker-dealers, RIAs, and wealth managers.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$75K-$250K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006DB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04</w:t>
            </w:r>
          </w:p>
        </w:tc>
        <w:tc>
          <w:tcPr>
            <w:tcW w:type="dxa" w:w="2736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Greg Mahoney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COO / VP Operations / GM</w:t>
            </w:r>
          </w:p>
        </w:tc>
        <w:tc>
          <w:tcPr>
            <w:tcW w:type="dxa" w:w="4752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CMMC Level 2 readiness on your timeline - without losing your prime.</w:t>
            </w:r>
          </w:p>
        </w:tc>
        <w:tc>
          <w:tcPr>
            <w:tcW w:type="dxa" w:w="2304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$90K-$300K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006DB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05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Priya Sharma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CTO / Founding Engineer / VP Eng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SOC 2 Type II in 90-120 days. 24/7 SOC. Audit-friendly evidence automation.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$40K-$150K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006DB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06</w:t>
            </w:r>
          </w:p>
        </w:tc>
        <w:tc>
          <w:tcPr>
            <w:tcW w:type="dxa" w:w="2736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Catherine Weiss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Managing Partner / Firm Administrator</w:t>
            </w:r>
          </w:p>
        </w:tc>
        <w:tc>
          <w:tcPr>
            <w:tcW w:type="dxa" w:w="4752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IT built for the duty of technology competence.</w:t>
            </w:r>
          </w:p>
        </w:tc>
        <w:tc>
          <w:tcPr>
            <w:tcW w:type="dxa" w:w="2304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$60K-$200K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67D4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07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Tom Anderson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Broker of Record / Owner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More listings. Cheaper per lead. On autopilot.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$25K-$100K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1EAAC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08</w:t>
            </w:r>
          </w:p>
        </w:tc>
        <w:tc>
          <w:tcPr>
            <w:tcW w:type="dxa" w:w="2736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Denise Washington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Executive Director / COO / CEO</w:t>
            </w:r>
          </w:p>
        </w:tc>
        <w:tc>
          <w:tcPr>
            <w:tcW w:type="dxa" w:w="4752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Mission-grade IT at non-profit pricing.</w:t>
            </w:r>
          </w:p>
        </w:tc>
        <w:tc>
          <w:tcPr>
            <w:tcW w:type="dxa" w:w="2304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$18K-$60K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1EAAC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09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Antonio DiMarco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Owner / Multi-Unit Operator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More covers. Cleaner PCI. Zero nights lost.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$20K-$70K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67D4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10</w:t>
            </w:r>
          </w:p>
        </w:tc>
        <w:tc>
          <w:tcPr>
            <w:tcW w:type="dxa" w:w="2736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Javier Torres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President / Owner / VP Ops</w:t>
            </w:r>
          </w:p>
        </w:tc>
        <w:tc>
          <w:tcPr>
            <w:tcW w:type="dxa" w:w="4752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Luxury buyer leads on autopilot. Site + office IT that actually works.</w:t>
            </w:r>
          </w:p>
        </w:tc>
        <w:tc>
          <w:tcPr>
            <w:tcW w:type="dxa" w:w="2304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$40K-$150K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006DB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11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Sarah Okafor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IT Director / VP IT (Co-Managed)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Extend your team - don't replace it. Co-managed IT that respects your ops.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$60K-$250K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1EAAC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12</w:t>
            </w:r>
          </w:p>
        </w:tc>
        <w:tc>
          <w:tcPr>
            <w:tcW w:type="dxa" w:w="2736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Jennifer Hayes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Director of Marketing / VP Growth</w:t>
            </w:r>
          </w:p>
        </w:tc>
        <w:tc>
          <w:tcPr>
            <w:tcW w:type="dxa" w:w="4752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Unlimited SEO. AI-enriched leads. Done-for-you content - without another agency.</w:t>
            </w:r>
          </w:p>
        </w:tc>
        <w:tc>
          <w:tcPr>
            <w:tcW w:type="dxa" w:w="2304"/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$30K-$120K Yr-1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67D4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13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18"/>
              </w:rPr>
              <w:t>Terry Williams</w:t>
            </w:r>
          </w:p>
          <w:p>
            <w:pPr>
              <w:spacing w:before="0" w:after="0" w:line="26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4"/>
              </w:rPr>
              <w:t>CFO / Controller / VP Finance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A1A2E"/>
                <w:sz w:val="16"/>
              </w:rPr>
              <w:t>OpEx-predictable IT + compliance that pleases your auditor, your board, and your carrier.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16"/>
              </w:rPr>
              <w:t>Varies (signs all &gt;$50K)</w:t>
            </w:r>
          </w:p>
        </w:tc>
      </w:tr>
    </w:tbl>
    <w:p>
      <w:pPr>
        <w:pageBreakBefore/>
        <w:spacing w:before="0" w:after="0"/>
      </w:pPr>
    </w:p>
    <w:p>
      <w:pPr>
        <w:spacing w:before="160" w:after="0" w:line="276" w:lineRule="auto"/>
        <w:pBdr>
          <w:bottom w:val="single" w:sz="24" w:space="1" w:color="F67D4B"/>
        </w:pBdr>
      </w:pPr>
    </w:p>
    <w:p>
      <w:pPr>
        <w:spacing w:before="160" w:after="40" w:line="276" w:lineRule="auto"/>
      </w:pPr>
      <w:r>
        <w:rPr>
          <w:rFonts w:ascii="Open Sans" w:hAnsi="Open Sans" w:eastAsia="Open Sans" w:cs="Open Sans"/>
          <w:b/>
          <w:i w:val="0"/>
          <w:color w:val="F67D4B"/>
          <w:sz w:val="18"/>
        </w:rPr>
        <w:t>CAMPAIGN PLAYBOOK</w:t>
      </w:r>
    </w:p>
    <w:p>
      <w:pPr>
        <w:spacing w:before="0" w:after="40" w:line="264" w:lineRule="auto"/>
      </w:pPr>
      <w:r>
        <w:rPr>
          <w:rFonts w:ascii="Open Sans" w:hAnsi="Open Sans" w:eastAsia="Open Sans" w:cs="Open Sans"/>
          <w:b/>
          <w:i w:val="0"/>
          <w:color w:val="1A1A2E"/>
          <w:sz w:val="40"/>
        </w:rPr>
        <w:t>Where these personas gather</w:t>
      </w:r>
    </w:p>
    <w:p>
      <w:pPr>
        <w:spacing w:before="0" w:after="160" w:line="324" w:lineRule="auto"/>
      </w:pPr>
      <w:r>
        <w:rPr>
          <w:rFonts w:ascii="Open Sans" w:hAnsi="Open Sans" w:eastAsia="Open Sans" w:cs="Open Sans"/>
          <w:b w:val="0"/>
          <w:i w:val="0"/>
          <w:color w:val="59595B"/>
          <w:sz w:val="22"/>
        </w:rPr>
        <w:t>Use this to plan events, sponsorship, content placement, geo-fencing, and ad targeting.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04"/>
        <w:gridCol w:w="3504"/>
        <w:gridCol w:w="3504"/>
      </w:tblGrid>
      <w:tr>
        <w:tc>
          <w:tcPr>
            <w:tcW w:type="dxa" w:w="2880"/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18"/>
              </w:rPr>
              <w:t>SEGMENT</w:t>
            </w:r>
          </w:p>
        </w:tc>
        <w:tc>
          <w:tcPr>
            <w:tcW w:type="dxa" w:w="1008"/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18"/>
              </w:rPr>
              <w:t>PERSONA</w:t>
            </w:r>
          </w:p>
        </w:tc>
        <w:tc>
          <w:tcPr>
            <w:tcW w:type="dxa" w:w="6624"/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18"/>
              </w:rPr>
              <w:t>WATERING HOLES / EVENTS / PUBS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006DB6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Healthcare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20"/>
              </w:rPr>
              <w:t>#02</w:t>
            </w:r>
          </w:p>
        </w:tc>
        <w:tc>
          <w:tcPr>
            <w:tcW w:type="dxa" w:w="662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MGMA Annual (Oct), OCMA chapter, HIPAA Journal, Becker's ASC Review, AAMA local.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006DB6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Financial Services</w:t>
            </w:r>
          </w:p>
        </w:tc>
        <w:tc>
          <w:tcPr>
            <w:tcW w:type="dxa" w:w="1008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20"/>
              </w:rPr>
              <w:t>#03</w:t>
            </w:r>
          </w:p>
        </w:tc>
        <w:tc>
          <w:tcPr>
            <w:tcW w:type="dxa" w:w="6624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NSCP Annual (Oct), Schwab IMPACT (Nov), IA Watch, FINRA Annual, ALI Wealth Mgmt.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006DB6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Defense / DIB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20"/>
              </w:rPr>
              <w:t>#04</w:t>
            </w:r>
          </w:p>
        </w:tc>
        <w:tc>
          <w:tcPr>
            <w:tcW w:type="dxa" w:w="662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NDIA, AIA / AUSA, CMMC Day, CMMC-AB events, local DIB supplier forums.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006DB6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SaaS / Startups</w:t>
            </w:r>
          </w:p>
        </w:tc>
        <w:tc>
          <w:tcPr>
            <w:tcW w:type="dxa" w:w="1008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20"/>
              </w:rPr>
              <w:t>#05</w:t>
            </w:r>
          </w:p>
        </w:tc>
        <w:tc>
          <w:tcPr>
            <w:tcW w:type="dxa" w:w="6624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AWS re:Invent (Dec), Pragmatic Engineer, Hacker News, Rands Slack, SaaStr.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006DB6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Legal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20"/>
              </w:rPr>
              <w:t>#06</w:t>
            </w:r>
          </w:p>
        </w:tc>
        <w:tc>
          <w:tcPr>
            <w:tcW w:type="dxa" w:w="662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ILTACON (Aug), ABA Techshow (Mar), ALA / OCBA chapters, LegalTech NY.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F67D4B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Real Estate</w:t>
            </w:r>
          </w:p>
        </w:tc>
        <w:tc>
          <w:tcPr>
            <w:tcW w:type="dxa" w:w="1008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20"/>
              </w:rPr>
              <w:t>#07</w:t>
            </w:r>
          </w:p>
        </w:tc>
        <w:tc>
          <w:tcPr>
            <w:tcW w:type="dxa" w:w="6624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Inman Connect (Jan/Aug), NAR Annual (Nov), Lab Coat Agents FB, T3 Sixty Summit.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1EAAC8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Non-Profit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1EAAC8"/>
                <w:sz w:val="20"/>
              </w:rPr>
              <w:t>#08</w:t>
            </w:r>
          </w:p>
        </w:tc>
        <w:tc>
          <w:tcPr>
            <w:tcW w:type="dxa" w:w="662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CalNonprofits Annual, NTEN Nonprofit Tech Conf, Chronicle of Philanthropy.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1EAAC8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Hospitality</w:t>
            </w:r>
          </w:p>
        </w:tc>
        <w:tc>
          <w:tcPr>
            <w:tcW w:type="dxa" w:w="1008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1EAAC8"/>
                <w:sz w:val="20"/>
              </w:rPr>
              <w:t>#09</w:t>
            </w:r>
          </w:p>
        </w:tc>
        <w:tc>
          <w:tcPr>
            <w:tcW w:type="dxa" w:w="6624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National Restaurant Show (Chicago, May), CRA local, Nation's Restaurant News.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F67D4B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Construction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20"/>
              </w:rPr>
              <w:t>#10</w:t>
            </w:r>
          </w:p>
        </w:tc>
        <w:tc>
          <w:tcPr>
            <w:tcW w:type="dxa" w:w="662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Intl. Builders' Show (Feb), HBA of OC, Builder Magazine, AGC local.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F67D4B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SMB OC Generalist</w:t>
            </w:r>
          </w:p>
        </w:tc>
        <w:tc>
          <w:tcPr>
            <w:tcW w:type="dxa" w:w="1008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20"/>
              </w:rPr>
              <w:t>#01</w:t>
            </w:r>
          </w:p>
        </w:tc>
        <w:tc>
          <w:tcPr>
            <w:tcW w:type="dxa" w:w="6624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Vistage / EO, OC Business Journal, Chamber of Commerce (Irvine, Newport, Anaheim).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006DB6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IT Director (Co-Mg)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20"/>
              </w:rPr>
              <w:t>#11</w:t>
            </w:r>
          </w:p>
        </w:tc>
        <w:tc>
          <w:tcPr>
            <w:tcW w:type="dxa" w:w="662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SIM local chapter, Gartner IT Symposium, ISACA / ISSA OC chapter, HDI.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1EAAC8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Marketing Director</w:t>
            </w:r>
          </w:p>
        </w:tc>
        <w:tc>
          <w:tcPr>
            <w:tcW w:type="dxa" w:w="1008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1EAAC8"/>
                <w:sz w:val="20"/>
              </w:rPr>
              <w:t>#12</w:t>
            </w:r>
          </w:p>
        </w:tc>
        <w:tc>
          <w:tcPr>
            <w:tcW w:type="dxa" w:w="6624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Inbound HubSpot (Sep), Content Marketing World (Sep), MarketingProfs, MozCon.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il"/>
              <w:left w:val="single" w:sz="24" w:color="F67D4B"/>
              <w:bottom w:val="nil"/>
              <w:right w:val="nil"/>
            </w:tcBorders>
          </w:tcPr>
          <w:p>
            <w:pPr>
              <w:spacing w:before="0" w:after="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0"/>
              </w:rPr>
              <w:t>CFO / Controller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20"/>
              </w:rPr>
              <w:t>#13</w:t>
            </w:r>
          </w:p>
        </w:tc>
        <w:tc>
          <w:tcPr>
            <w:tcW w:type="dxa" w:w="662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AFP Annual, FEI Summit, CFO Leadership Council, CFO.com, WSJ CFO Journal.</w:t>
            </w:r>
          </w:p>
        </w:tc>
      </w:tr>
    </w:tbl>
    <w:p>
      <w:pPr>
        <w:pageBreakBefore/>
        <w:spacing w:before="0" w:after="0"/>
      </w:pPr>
    </w:p>
    <w:p>
      <w:pPr>
        <w:spacing w:before="80" w:after="0" w:line="276" w:lineRule="auto"/>
        <w:keepNext/>
        <w:pBdr>
          <w:bottom w:val="single" w:sz="24" w:space="1" w:color="1EAAC8"/>
        </w:pBdr>
      </w:pPr>
    </w:p>
    <w:p>
      <w:pPr>
        <w:keepNext/>
        <w:spacing w:before="160" w:after="40" w:line="276" w:lineRule="auto"/>
      </w:pPr>
      <w:r>
        <w:rPr>
          <w:rFonts w:ascii="Open Sans" w:hAnsi="Open Sans" w:eastAsia="Open Sans" w:cs="Open Sans"/>
          <w:b/>
          <w:i w:val="0"/>
          <w:color w:val="1EAAC8"/>
          <w:sz w:val="18"/>
        </w:rPr>
        <w:t>SEASONAL TIMING</w:t>
      </w:r>
    </w:p>
    <w:p>
      <w:pPr>
        <w:keepNext/>
        <w:spacing w:before="0" w:after="80" w:line="264" w:lineRule="auto"/>
      </w:pPr>
      <w:r>
        <w:rPr>
          <w:rFonts w:ascii="Open Sans" w:hAnsi="Open Sans" w:eastAsia="Open Sans" w:cs="Open Sans"/>
          <w:b/>
          <w:i w:val="0"/>
          <w:color w:val="1A1A2E"/>
          <w:sz w:val="40"/>
        </w:rPr>
        <w:t>Buying windows by quarter</w:t>
      </w:r>
    </w:p>
    <w:p>
      <w:pPr>
        <w:keepNext/>
        <w:spacing w:before="0" w:after="200" w:line="324" w:lineRule="auto"/>
      </w:pPr>
      <w:r>
        <w:rPr>
          <w:rFonts w:ascii="Open Sans" w:hAnsi="Open Sans" w:eastAsia="Open Sans" w:cs="Open Sans"/>
          <w:b w:val="0"/>
          <w:i w:val="0"/>
          <w:color w:val="59595B"/>
          <w:sz w:val="22"/>
        </w:rPr>
        <w:t>Where each persona tier is most reachable - time your outbound, events, and email cadence accordingly.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592"/>
            <w:shd w:val="clear" w:color="auto" w:fill="F8F9FA"/>
            <w:tcMar>
              <w:top w:w="140" w:type="dxa"/>
              <w:left w:w="160" w:type="dxa"/>
              <w:bottom w:w="140" w:type="dxa"/>
              <w:right w:w="160" w:type="dxa"/>
            </w:tcMar>
            <w:tcBorders>
              <w:top w:val="single" w:sz="24" w:color="006DB6"/>
              <w:left w:val="nil"/>
              <w:bottom w:val="nil"/>
              <w:right w:val="nil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20"/>
              </w:rPr>
              <w:t>Q1 (Jan-Mar)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Budget reset, insurance renewals, tax-season MSP stress. SMB + CFO personas active.</w:t>
            </w:r>
          </w:p>
        </w:tc>
        <w:tc>
          <w:tcPr>
            <w:tcW w:type="dxa" w:w="2592"/>
            <w:shd w:val="clear" w:color="auto" w:fill="F8F9FA"/>
            <w:tcMar>
              <w:top w:w="140" w:type="dxa"/>
              <w:left w:w="160" w:type="dxa"/>
              <w:bottom w:w="140" w:type="dxa"/>
              <w:right w:w="160" w:type="dxa"/>
            </w:tcMar>
            <w:tcBorders>
              <w:top w:val="single" w:sz="24" w:color="F67D4B"/>
              <w:left w:val="nil"/>
              <w:bottom w:val="nil"/>
              <w:right w:val="nil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67D4B"/>
                <w:sz w:val="20"/>
              </w:rPr>
              <w:t>Q2 (Apr-Jun)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Post-tax CPA/attorney buying, compliance prep for summer audits. Healthcare + Fin Svcs peaks.</w:t>
            </w:r>
          </w:p>
        </w:tc>
        <w:tc>
          <w:tcPr>
            <w:tcW w:type="dxa" w:w="2592"/>
            <w:shd w:val="clear" w:color="auto" w:fill="F8F9FA"/>
            <w:tcMar>
              <w:top w:w="140" w:type="dxa"/>
              <w:left w:w="160" w:type="dxa"/>
              <w:bottom w:w="140" w:type="dxa"/>
              <w:right w:w="160" w:type="dxa"/>
            </w:tcMar>
            <w:tcBorders>
              <w:top w:val="single" w:sz="24" w:color="1EAAC8"/>
              <w:left w:val="nil"/>
              <w:bottom w:val="nil"/>
              <w:right w:val="nil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EAAC8"/>
                <w:sz w:val="20"/>
              </w:rPr>
              <w:t>Q3 (Jul-Sep)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Back-to-school &amp; fiscal reset. ILTACON, Inbound, NSCP prep. Legal + Marketing personas most receptive.</w:t>
            </w:r>
          </w:p>
        </w:tc>
        <w:tc>
          <w:tcPr>
            <w:tcW w:type="dxa" w:w="2592"/>
            <w:shd w:val="clear" w:color="auto" w:fill="F8F9FA"/>
            <w:tcMar>
              <w:top w:w="140" w:type="dxa"/>
              <w:left w:w="160" w:type="dxa"/>
              <w:bottom w:w="140" w:type="dxa"/>
              <w:right w:w="160" w:type="dxa"/>
            </w:tcMar>
            <w:tcBorders>
              <w:top w:val="single" w:sz="24" w:color="CBDB2D"/>
              <w:left w:val="nil"/>
              <w:bottom w:val="nil"/>
              <w:right w:val="nil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CBDB2D"/>
                <w:sz w:val="20"/>
              </w:rPr>
              <w:t>Q4 (Oct-Dec)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18"/>
              </w:rPr>
              <w:t>Renewal crunch, board reviews, year-end security spend. Every persona active, Nov-Dec is execution window.</w:t>
            </w:r>
          </w:p>
        </w:tc>
      </w:tr>
    </w:tbl>
    <w:p>
      <w:pPr>
        <w:pageBreakBefore/>
        <w:spacing w:before="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006DB6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before="0" w:after="8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CBDB2D"/>
                <w:sz w:val="18"/>
              </w:rPr>
              <w:t>FOR THE MARKETING TEAM</w:t>
            </w:r>
          </w:p>
          <w:p>
            <w:pPr>
              <w:spacing w:before="0" w:after="120" w:line="288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44"/>
              </w:rPr>
              <w:t>Start campaigns from this.</w:t>
            </w:r>
          </w:p>
          <w:p>
            <w:pPr>
              <w:spacing w:before="0" w:after="200" w:line="324" w:lineRule="auto"/>
              <w:jc w:val="center"/>
            </w:pPr>
            <w:r>
              <w:rPr>
                <w:rFonts w:ascii="Open Sans" w:hAnsi="Open Sans" w:eastAsia="Open Sans" w:cs="Open Sans"/>
                <w:b w:val="0"/>
                <w:i w:val="0"/>
                <w:color w:val="FFFFFF"/>
                <w:sz w:val="22"/>
              </w:rPr>
              <w:t>The next sales play, LinkedIn audience, nurture sequence, or ABM account list should pull directly from these 13 personas. If a campaign doesn't map to a persona, it's a guess.</w:t>
            </w:r>
          </w:p>
          <w:p>
            <w:pPr>
              <w:spacing w:before="120" w:after="0" w:line="276" w:lineRule="auto"/>
              <w:jc w:val="center"/>
            </w:pPr>
            <w:r>
              <w:rPr>
                <w:rFonts w:ascii="Open Sans" w:hAnsi="Open Sans" w:eastAsia="Open Sans" w:cs="Open Sans"/>
                <w:b w:val="0"/>
                <w:i w:val="0"/>
                <w:color w:val="FFFFFF"/>
                <w:sz w:val="20"/>
              </w:rPr>
              <w:t xml:space="preserve">Full attribute files (~25 fields each): </w:t>
            </w:r>
            <w:r>
              <w:rPr>
                <w:rFonts w:ascii="Open Sans" w:hAnsi="Open Sans" w:eastAsia="Open Sans" w:cs="Open Sans"/>
                <w:b/>
                <w:i w:val="0"/>
                <w:color w:val="CBDB2D"/>
                <w:sz w:val="20"/>
              </w:rPr>
              <w:t>tech-branding/personas/vertical/ + /horizontal/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184"/>
            <w:shd w:val="clear" w:color="auto" w:fill="F8F9FA"/>
            <w:tcMar>
              <w:top w:w="220" w:type="dxa"/>
              <w:left w:w="220" w:type="dxa"/>
              <w:bottom w:w="220" w:type="dxa"/>
              <w:right w:w="220" w:type="dxa"/>
            </w:tcMar>
            <w:tcBorders>
              <w:top w:val="nil"/>
              <w:left w:val="single" w:sz="28" w:color="006DB6"/>
              <w:bottom w:val="nil"/>
              <w:right w:val="nil"/>
            </w:tcBorders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006DB6"/>
                <w:sz w:val="18"/>
              </w:rPr>
              <w:t>ABOUT TECHNIJIAN</w:t>
            </w:r>
          </w:p>
          <w:p>
            <w:pPr>
              <w:spacing w:before="0" w:after="120" w:line="288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A1A2E"/>
                <w:sz w:val="28"/>
              </w:rPr>
              <w:t>25+ years. 1,000+ networks. Orange County.</w:t>
            </w:r>
          </w:p>
          <w:p>
            <w:pPr>
              <w:spacing w:before="0" w:after="0" w:line="324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59595B"/>
                <w:sz w:val="20"/>
              </w:rPr>
              <w:t>Pod-model managed IT, security, cloud, compliance, and AI services for regulated and high-growth organizations. Local, accountable, and audit-ready from day one.</w:t>
            </w:r>
          </w:p>
        </w:tc>
        <w:tc>
          <w:tcPr>
            <w:tcW w:type="dxa" w:w="5184"/>
            <w:shd w:val="clear" w:color="auto" w:fill="1A1A2E"/>
            <w:tcMar>
              <w:top w:w="220" w:type="dxa"/>
              <w:left w:w="220" w:type="dxa"/>
              <w:bottom w:w="220" w:type="dxa"/>
              <w:right w:w="220" w:type="dxa"/>
            </w:tcMar>
          </w:tcPr>
          <w:p>
            <w:pPr>
              <w:spacing w:before="0" w:after="80" w:line="276" w:lineRule="auto"/>
            </w:pPr>
            <w:r>
              <w:rPr>
                <w:rFonts w:ascii="Open Sans" w:hAnsi="Open Sans" w:eastAsia="Open Sans" w:cs="Open Sans"/>
                <w:b/>
                <w:i w:val="0"/>
                <w:color w:val="1EAAC8"/>
                <w:sz w:val="18"/>
              </w:rPr>
              <w:t>MAINTAINER</w:t>
            </w:r>
          </w:p>
          <w:p>
            <w:pPr>
              <w:spacing w:before="0" w:after="40" w:line="288" w:lineRule="auto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8"/>
              </w:rPr>
              <w:t>Ravi Jain</w:t>
            </w:r>
          </w:p>
          <w:p>
            <w:pPr>
              <w:spacing w:before="0" w:after="120" w:line="288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1EAAC8"/>
                <w:sz w:val="20"/>
              </w:rPr>
              <w:t>rjain@technijian.com</w:t>
            </w:r>
          </w:p>
          <w:p>
            <w:pPr>
              <w:spacing w:before="0" w:after="0" w:line="312" w:lineRule="auto"/>
            </w:pPr>
            <w:r>
              <w:rPr>
                <w:rFonts w:ascii="Open Sans" w:hAnsi="Open Sans" w:eastAsia="Open Sans" w:cs="Open Sans"/>
                <w:b w:val="0"/>
                <w:i w:val="0"/>
                <w:color w:val="FFFFFF"/>
                <w:sz w:val="18"/>
              </w:rPr>
              <w:t>File a new persona or flag a drift when a closed deal doesn't match any existing profile. Review quarterly.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2D2D2D"/>
            <w:tcMar>
              <w:top w:w="180" w:type="dxa"/>
              <w:left w:w="260" w:type="dxa"/>
              <w:bottom w:w="180" w:type="dxa"/>
              <w:right w:w="260" w:type="dxa"/>
            </w:tcMar>
          </w:tcPr>
          <w:p>
            <w:pPr>
              <w:spacing w:before="0" w:after="40" w:line="276" w:lineRule="auto"/>
              <w:jc w:val="center"/>
            </w:pPr>
            <w:r>
              <w:rPr>
                <w:rFonts w:ascii="Open Sans" w:hAnsi="Open Sans" w:eastAsia="Open Sans" w:cs="Open Sans"/>
                <w:b/>
                <w:i w:val="0"/>
                <w:color w:val="FFFFFF"/>
                <w:sz w:val="20"/>
              </w:rPr>
              <w:t>TECHNIJIAN</w:t>
            </w:r>
          </w:p>
          <w:p>
            <w:pPr>
              <w:spacing w:before="0" w:after="0" w:line="312" w:lineRule="auto"/>
              <w:jc w:val="center"/>
            </w:pPr>
            <w:r>
              <w:rPr>
                <w:rFonts w:ascii="Open Sans" w:hAnsi="Open Sans" w:eastAsia="Open Sans" w:cs="Open Sans"/>
                <w:b w:val="0"/>
                <w:i w:val="0"/>
                <w:color w:val="FFFFFF"/>
                <w:sz w:val="16"/>
              </w:rPr>
              <w:t>18 Technology Dr. Ste 141, Irvine CA 92618  |  949.379.8500  |  technijian.com  |  Customer Personas v1.0 - April 2026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eastAsia="Open Sans" w:cs="Open Sans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