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</w:tr>
    </w:tbl>
    <w:p>
      <w:pPr>
        <w:keepNext/>
        <w:spacing w:after="0" w:before="2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2381250" cy="495300"/>
            <wp:effectExtent t="0" r="0" b="0" l="0"/>
            <wp:docPr id="1" name="Technijian Logo" descr="Technijian 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00"/>
      </w:pPr>
      <w:r>
        <w:t xml:space="preserve"/>
      </w:r>
    </w:p>
    <w:p>
      <w:pPr>
        <w:spacing w:after="9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F67D4B"/>
          <w:sz w:val="22"/>
          <w:szCs w:val="22"/>
        </w:rPr>
        <w:t xml:space="preserve">EXECUTIVE SUMMARY</w:t>
      </w:r>
    </w:p>
    <w:p>
      <w:pPr>
        <w:spacing w:after="8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40"/>
          <w:szCs w:val="40"/>
        </w:rPr>
        <w:t xml:space="preserve">Rayco Exteriors</w:t>
      </w:r>
    </w:p>
    <w:p>
      <w:pPr>
        <w:spacing w:after="60"/>
        <w:jc w:val="center"/>
      </w:pPr>
      <w:r>
        <w:rPr>
          <w:rFonts w:ascii="Open Sans" w:cs="Open Sans" w:eastAsia="Open Sans" w:hAnsi="Open Sans"/>
          <w:i/>
          <w:iCs/>
          <w:color w:val="59595B"/>
          <w:sz w:val="21"/>
          <w:szCs w:val="21"/>
        </w:rPr>
        <w:t xml:space="preserve">AI Growth &amp; Bid-Intelligence Blueprint — get found and trusted, win more HOA reconstruction bids</w:t>
      </w:r>
    </w:p>
    <w:p>
      <w:pPr>
        <w:spacing w:after="170"/>
        <w:jc w:val="center"/>
      </w:pPr>
      <w:r>
        <w:rPr>
          <w:rFonts w:ascii="Open Sans" w:cs="Open Sans" w:eastAsia="Open Sans" w:hAnsi="Open Sans"/>
          <w:color w:val="59595B"/>
          <w:sz w:val="17"/>
          <w:szCs w:val="17"/>
        </w:rPr>
        <w:t xml:space="preserve">Prepared for Gabe Cooley, President — Rayco Exteriors  ·  June 23, 2026  ·  Confidential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38"/>
                <w:szCs w:val="38"/>
              </w:rPr>
              <w:t xml:space="preserve">3,500+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communities &amp; buildings (self-reported)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38"/>
                <w:szCs w:val="38"/>
              </w:rPr>
              <w:t xml:space="preserve">B + C-33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licensed general &amp; painting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38"/>
                <w:szCs w:val="38"/>
              </w:rPr>
              <w:t xml:space="preserve">SB 326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every 9 yrs (first due 1/1/2025)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28A745"/>
                <w:sz w:val="38"/>
                <w:szCs w:val="38"/>
              </w:rPr>
              <w:t xml:space="preserve">OC + SD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core market (NorCal expanding)</w:t>
            </w:r>
          </w:p>
        </w:tc>
      </w:tr>
    </w:tbl>
    <w:p>
      <w:pPr>
        <w:keepNext/>
        <w:spacing w:after="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First — this is not a managed-IT or security pitch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When we first reached out we led with managed IT and a free security assessment, and you replied you don’t have a current need for that. Fair enough — this is something different and, for a firm like Rayco, more valuable: using AI to get found by the community managers who hire reconstruction contractors, and to win more of the bids you already compete for. That is commercial growth, not IT — the front office, never the field.</w:t>
            </w:r>
          </w:p>
        </w:tc>
      </w:tr>
    </w:tbl>
    <w:p>
      <w:pPr>
        <w:spacing w:after="120" w:before="12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Rayco Exteriors restores the building envelope of multifamily, HOA, and commercial properties — exterior rehab, painting and waterproofing, dry-rot and structural wood repair, deck and balcony reconstruction, stucco, railings, and siding. With a decade-plus track record, a self-reported 3,500-plus communities completed, a B and C-33 license, and CACM and CAI memberships, the work and the relationships are real. This summary states only verified facts, attributes all review and market figures, and defers company-specific numbers to discovery.</w:t>
      </w:r>
    </w:p>
    <w:p>
      <w:pPr>
        <w:spacing w:after="6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The opportunity is not the craft — it is being found and trusted by the people who hire you.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Rayco wins through a knowable universe of community managers, boards, and the construction managers who write the specs — yet its public reputation is thin where they look: a reported 3.4-star, 27-review Google profile sits well below competitors with hundreds of reviews, there is no content hub (the /resources and /careers pages error out), and Rayco does not surface in the AI answers a manager increasingly asks first. The plan has two parts: </w:t>
      </w: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be found and trusted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— a modern site with board-ready SB 326 content, a reputation engine, and authority content; and </w:t>
      </w: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win more bids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— AI that watches the SB 326 cycle and the management portfolios, flags who is sourcing now, and drafts the spec responses. AI works the front end and drafts; your team owns every relationship and verifies every claim — and it never touches the field reconstruction.</w:t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What we verified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real reconstruction firm: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a self-reported 3,500-plus communities and buildings; a B-1019483 general and C-33 painting license; a full envelope service set; CACM Industry Partner (Plus) and CAI-OC memberships; an Escondido base serving OC and San Diego.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market on a legal clock: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SB 326 requires HOA balcony inspections — first due January 1, 2025, then every nine years — and SB 721 puts apartments on a six-year cycle (first due January 1, 2026). Inspectors diagnose; they do not repair. Rayco’s service lines map almost exactly onto the mandated repair scope.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The gap is reach and reputation, not craft: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a reported 3.4-star / 27-review profile, no content engine, and weak presence in AI answers — while better-reviewed competitors take the calls when a manager searches.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Honest about the facts: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we leave the founding year open (sources disagree — 2008 on LinkedIn, 2016 on the business registration), label review counts "reported," and cite no revenue figure because none is public and verified.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22"/>
                <w:szCs w:val="22"/>
              </w:rPr>
              <w:t xml:space="preserve">A note on precision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 will be precise even where it is inconvenient — leaving the founding year as a discovery item rather than picking one, and labeling third-party review counts "reported." That precision is the standard behind every figure here, and it is how a bid stays credible with a sophisticated buyer.</w:t>
            </w:r>
          </w:p>
        </w:tc>
      </w:tr>
    </w:tbl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The engine</w:t>
      </w:r>
    </w:p>
    <w:p>
      <w:pPr>
        <w:spacing w:after="6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Three columns — be found and trusted, win more bids, and respond and operate faster — each delivered by a specific Technijian service, with AI kept entirely on the commercial front end.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AI growth and bid-intelligence engine" descr="AI growth and bid-intelligence engine" title="AI growth and bid-intelligence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Investment &amp; the path forward</w:t>
      </w:r>
    </w:p>
    <w:p>
      <w:pPr>
        <w:spacing w:after="10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Priced from real ranges, no invented numbers.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We price from published My SEO / My AI / My Dev ranges, start small — be found and trusted first, because it is the cheapest, fastest win and it lifts every bid that follows — and model returns only after discovery. For a project-based firm, return is value at stake: a single additional reconstruction contract, or one management-company portfolio opened, is worth far more than a year of this engine, so it pays for itself if it wins even one bid that would never have reached you.</w:t>
      </w:r>
    </w:p>
    <w:p>
      <w:pPr>
        <w:spacing w:after="11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easiest first step is a short working session on where AI creates measurable value for Rayco — no obligation, and nothing about managed IT. The full blueprint ends with a structured questionnaire, "Questions to Complete the Analysis," that turns this summary into a costed, calibrated plan scaled to your firm. And if the answer is "not now," we will respect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Start the conversation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Ravi Jain, Founder &amp; CEO  ·  rjain@technijian.com  ·  949.379.8499  ·  technijian.com  ·  technology as a solution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Open Sans" w:cs="Open Sans" w:eastAsia="Open Sans" w:hAnsi="Open Sans"/>
        <w:b/>
        <w:bCs/>
        <w:color w:val="59595B"/>
        <w:sz w:val="16"/>
        <w:szCs w:val="16"/>
      </w:rPr>
      <w:t xml:space="preserve">Technijian</w:t>
    </w:r>
    <w:r>
      <w:rPr>
        <w:rFonts w:ascii="Open Sans" w:cs="Open Sans" w:eastAsia="Open Sans" w:hAnsi="Open Sans"/>
        <w:color w:val="59595B"/>
        <w:sz w:val="16"/>
        <w:szCs w:val="16"/>
      </w:rPr>
      <w:t xml:space="preserve">  ·  technology as a solution  ·  technijian.com  ·  949.379.8499  ·  CONFIDENTIAL  ·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006DB6" w:sz="6"/>
        <w:right w:val="none" w:color="FFFFFF" w:sz="0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181100" cy="247650"/>
                <wp:effectExtent t="0" r="0" b="0" l="0"/>
                <wp:docPr id="1" name="Technijian Logo" descr="Technijian Logo" title="Techniji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Rayco Exteriors  ·  Executive Summary</w:t>
          </w:r>
        </w:p>
      </w:tc>
    </w:tr>
  </w:tbl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Open Sans" w:cs="Open Sans" w:eastAsia="Open Sans" w:hAnsi="Open Sans"/>
      <w:b/>
      <w:bCs/>
      <w:color w:val="006D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103d8b7cd0eed7467432b2205de7bc29f677af.png"/><Relationship Id="rId10" Type="http://schemas.openxmlformats.org/officeDocument/2006/relationships/image" Target="media/96343289318c2304a88a3ebc0776b0848e9cc6d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103d8b7cd0eed7467432b2205de7bc29f677a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Rayco Exteriors — Executive Summary</dc:title>
  <dc:creator>Technijian</dc:creator>
  <dc:description>Forwardable executive summary for Rayco Exteriors, prepared by Technijian.</dc:description>
  <cp:lastModifiedBy>Un-named</cp:lastModifiedBy>
  <cp:revision>1</cp:revision>
  <dcterms:created xsi:type="dcterms:W3CDTF">2026-06-23T23:52:39.871Z</dcterms:created>
  <dcterms:modified xsi:type="dcterms:W3CDTF">2026-06-23T23:52:39.872Z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