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color="FFFFFF" w:sz="0"/>
              <w:left w:val="none" w:color="FFFFFF" w:sz="0"/>
              <w:bottom w:val="none" w:color="FFFFFF" w:sz="0"/>
              <w:right w:val="none" w:color="FFFFFF" w:sz="0"/>
            </w:tcBorders>
            <w:shd w:fill="006DB6" w:val="clear"/>
          </w:tcPr>
          <w:p>
            <w:r>
              <w:t xml:space="preserve"/>
            </w:r>
          </w:p>
        </w:tc>
      </w:tr>
    </w:tbl>
    <w:p>
      <w:pPr>
        <w:keepNext/>
        <w:spacing w:after="0" w:before="780"/>
      </w:pPr>
      <w:r>
        <w:t xml:space="preserve"/>
      </w:r>
    </w:p>
    <w:p>
      <w:pPr>
        <w:jc w:val="center"/>
      </w:pPr>
      <w:r>
        <w:drawing>
          <wp:inline distT="0" distB="0" distL="0" distR="0">
            <wp:extent cx="3143250" cy="657225"/>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657225"/>
                    </a:xfrm>
                    <a:prstGeom prst="rect">
                      <a:avLst/>
                    </a:prstGeom>
                  </pic:spPr>
                </pic:pic>
              </a:graphicData>
            </a:graphic>
          </wp:inline>
        </w:drawing>
      </w:r>
    </w:p>
    <w:p>
      <w:pPr>
        <w:keepNext/>
        <w:spacing w:after="0" w:before="320"/>
      </w:pPr>
      <w:r>
        <w:t xml:space="preserve"/>
      </w:r>
    </w:p>
    <w:p>
      <w:pPr>
        <w:jc w:val="center"/>
      </w:pPr>
      <w:r>
        <w:rPr>
          <w:b/>
          <w:bCs/>
          <w:color w:val="F67D4B"/>
          <w:sz w:val="32"/>
          <w:szCs w:val="32"/>
        </w:rPr>
        <w:t xml:space="preserve">━━━━━━━━━━</w:t>
      </w:r>
    </w:p>
    <w:p>
      <w:pPr>
        <w:keepNext/>
        <w:spacing w:after="0" w:before="210"/>
      </w:pPr>
      <w:r>
        <w:t xml:space="preserve"/>
      </w:r>
    </w:p>
    <w:p>
      <w:pPr>
        <w:spacing w:after="120" w:before="0"/>
        <w:jc w:val="center"/>
      </w:pPr>
      <w:r>
        <w:rPr>
          <w:rFonts w:ascii="Open Sans" w:cs="Open Sans" w:eastAsia="Open Sans" w:hAnsi="Open Sans"/>
          <w:b/>
          <w:bCs/>
          <w:i w:val="false"/>
          <w:iCs w:val="false"/>
          <w:color w:val="F67D4B"/>
          <w:sz w:val="27"/>
          <w:szCs w:val="27"/>
        </w:rPr>
        <w:t xml:space="preserve">AI GROWTH &amp; INTEGRATION</w:t>
      </w:r>
    </w:p>
    <w:p>
      <w:pPr>
        <w:spacing w:after="200" w:before="0"/>
        <w:jc w:val="center"/>
      </w:pPr>
      <w:r>
        <w:rPr>
          <w:rFonts w:ascii="Open Sans" w:cs="Open Sans" w:eastAsia="Open Sans" w:hAnsi="Open Sans"/>
          <w:b/>
          <w:bCs/>
          <w:i w:val="false"/>
          <w:iCs w:val="false"/>
          <w:color w:val="F67D4B"/>
          <w:sz w:val="27"/>
          <w:szCs w:val="27"/>
        </w:rPr>
        <w:t xml:space="preserve">BLUEPRINT</w:t>
      </w:r>
    </w:p>
    <w:p>
      <w:pPr>
        <w:keepNext/>
        <w:spacing w:after="0" w:before="140"/>
      </w:pPr>
      <w:r>
        <w:t xml:space="preserve"/>
      </w:r>
    </w:p>
    <w:p>
      <w:pPr>
        <w:spacing w:after="150" w:before="0"/>
        <w:jc w:val="center"/>
      </w:pPr>
      <w:r>
        <w:rPr>
          <w:rFonts w:ascii="Open Sans" w:cs="Open Sans" w:eastAsia="Open Sans" w:hAnsi="Open Sans"/>
          <w:b/>
          <w:bCs/>
          <w:i w:val="false"/>
          <w:iCs w:val="false"/>
          <w:color w:val="1A1A2E"/>
          <w:sz w:val="52"/>
          <w:szCs w:val="52"/>
        </w:rPr>
        <w:t xml:space="preserve">Canusa Hershman</w:t>
      </w:r>
    </w:p>
    <w:p>
      <w:pPr>
        <w:jc w:val="center"/>
      </w:pPr>
      <w:r>
        <w:rPr>
          <w:rFonts w:ascii="Open Sans" w:cs="Open Sans" w:eastAsia="Open Sans" w:hAnsi="Open Sans"/>
          <w:i/>
          <w:iCs/>
          <w:color w:val="59595B"/>
          <w:sz w:val="22"/>
          <w:szCs w:val="22"/>
        </w:rPr>
        <w:t xml:space="preserve">Where AI grows the trade and integrates the back office — built on verified facts, with the questions that complete the picture</w:t>
      </w:r>
    </w:p>
    <w:p>
      <w:pPr>
        <w:keepNext/>
        <w:spacing w:after="0" w:before="900"/>
      </w:pPr>
      <w:r>
        <w:t xml:space="preserve"/>
      </w:r>
    </w:p>
    <w:p>
      <w:pPr>
        <w:spacing w:after="60" w:before="0"/>
        <w:jc w:val="center"/>
      </w:pPr>
      <w:r>
        <w:rPr>
          <w:rFonts w:ascii="Open Sans" w:cs="Open Sans" w:eastAsia="Open Sans" w:hAnsi="Open Sans"/>
          <w:b w:val="false"/>
          <w:bCs w:val="false"/>
          <w:i w:val="false"/>
          <w:iCs w:val="false"/>
          <w:color w:val="59595B"/>
          <w:sz w:val="18"/>
          <w:szCs w:val="18"/>
        </w:rPr>
        <w:t xml:space="preserve">PREPARED FOR</w:t>
      </w:r>
    </w:p>
    <w:p>
      <w:pPr>
        <w:spacing w:after="150" w:before="0"/>
        <w:jc w:val="center"/>
      </w:pPr>
      <w:r>
        <w:rPr>
          <w:rFonts w:ascii="Open Sans" w:cs="Open Sans" w:eastAsia="Open Sans" w:hAnsi="Open Sans"/>
          <w:b/>
          <w:bCs/>
          <w:i w:val="false"/>
          <w:iCs w:val="false"/>
          <w:color w:val="1A1A2E"/>
          <w:sz w:val="22"/>
          <w:szCs w:val="22"/>
        </w:rPr>
        <w:t xml:space="preserve">Canusa Hershman — Executive Leadership</w:t>
      </w:r>
    </w:p>
    <w:p>
      <w:pPr>
        <w:spacing w:after="60" w:before="0"/>
        <w:jc w:val="center"/>
      </w:pPr>
      <w:r>
        <w:rPr>
          <w:rFonts w:ascii="Open Sans" w:cs="Open Sans" w:eastAsia="Open Sans" w:hAnsi="Open Sans"/>
          <w:b w:val="false"/>
          <w:bCs w:val="false"/>
          <w:i w:val="false"/>
          <w:iCs w:val="false"/>
          <w:color w:val="59595B"/>
          <w:sz w:val="18"/>
          <w:szCs w:val="18"/>
        </w:rPr>
        <w:t xml:space="preserve">PREPARED BY</w:t>
      </w:r>
    </w:p>
    <w:p>
      <w:pPr>
        <w:spacing w:after="150" w:before="0"/>
        <w:jc w:val="center"/>
      </w:pPr>
      <w:r>
        <w:rPr>
          <w:rFonts w:ascii="Open Sans" w:cs="Open Sans" w:eastAsia="Open Sans" w:hAnsi="Open Sans"/>
          <w:b/>
          <w:bCs/>
          <w:i w:val="false"/>
          <w:iCs w:val="false"/>
          <w:color w:val="006DB6"/>
          <w:sz w:val="22"/>
          <w:szCs w:val="22"/>
        </w:rPr>
        <w:t xml:space="preserve">Technijian — technology as a solution</w:t>
      </w:r>
    </w:p>
    <w:p>
      <w:pPr>
        <w:spacing w:after="60" w:before="0"/>
        <w:jc w:val="center"/>
      </w:pPr>
      <w:r>
        <w:rPr>
          <w:rFonts w:ascii="Open Sans" w:cs="Open Sans" w:eastAsia="Open Sans" w:hAnsi="Open Sans"/>
          <w:b w:val="false"/>
          <w:bCs w:val="false"/>
          <w:i w:val="false"/>
          <w:iCs w:val="false"/>
          <w:color w:val="59595B"/>
          <w:sz w:val="18"/>
          <w:szCs w:val="18"/>
        </w:rPr>
        <w:t xml:space="preserve">DATE</w:t>
      </w:r>
    </w:p>
    <w:p>
      <w:pPr>
        <w:spacing w:after="360" w:before="0"/>
        <w:jc w:val="center"/>
      </w:pPr>
      <w:r>
        <w:rPr>
          <w:rFonts w:ascii="Open Sans" w:cs="Open Sans" w:eastAsia="Open Sans" w:hAnsi="Open Sans"/>
          <w:b/>
          <w:bCs/>
          <w:i w:val="false"/>
          <w:iCs w:val="false"/>
          <w:color w:val="1A1A2E"/>
          <w:sz w:val="22"/>
          <w:szCs w:val="22"/>
        </w:rPr>
        <w:t xml:space="preserve">June 16, 2026</w:t>
      </w:r>
    </w:p>
    <w:p>
      <w:pPr>
        <w:spacing w:after="160" w:before="0"/>
        <w:jc w:val="center"/>
      </w:pPr>
      <w:r>
        <w:rPr>
          <w:rFonts w:ascii="Open Sans" w:cs="Open Sans" w:eastAsia="Open Sans" w:hAnsi="Open Sans"/>
          <w:b/>
          <w:bCs/>
          <w:i w:val="false"/>
          <w:iCs w:val="false"/>
          <w:color w:val="59595B"/>
          <w:sz w:val="16"/>
          <w:szCs w:val="16"/>
        </w:rPr>
        <w:t xml:space="preserve">CONFIDENTIAL · PREPARED EXCLUSIVELY FOR CANUSA HERSHMAN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color="FFFFFF" w:sz="0"/>
              <w:left w:val="none" w:color="FFFFFF" w:sz="0"/>
              <w:bottom w:val="none" w:color="FFFFFF" w:sz="0"/>
              <w:right w:val="none" w:color="FFFFFF" w:sz="0"/>
            </w:tcBorders>
            <w:shd w:fill="F67D4B" w:val="clear"/>
          </w:tcPr>
          <w:p>
            <w:r>
              <w:t xml:space="preserve"/>
            </w:r>
          </w:p>
        </w:tc>
      </w:tr>
    </w:tbl>
    <w:p>
      <w:pPr>
        <w:pStyle w:val="Heading1"/>
        <w:keepNext/>
        <w:pageBreakBefore/>
        <w:spacing w:after="120" w:before="0" w:line="240"/>
      </w:pPr>
      <w:r>
        <w:rPr>
          <w:rFonts w:ascii="Open Sans" w:cs="Open Sans" w:eastAsia="Open Sans" w:hAnsi="Open Sans"/>
          <w:color w:val="FFFFFF"/>
          <w:sz w:val="2"/>
          <w:szCs w:val="2"/>
        </w:rPr>
        <w:t xml:space="preserve">How to Read This Blueprint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How to Read This Blueprint</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This blueprint was prepared from public research, before any technical discovery. It holds itself to a simple discipline:</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reports verified facts. </w:t>
      </w:r>
      <w:r>
        <w:rPr>
          <w:rFonts w:ascii="Open Sans" w:cs="Open Sans" w:eastAsia="Open Sans" w:hAnsi="Open Sans"/>
          <w:b w:val="false"/>
          <w:bCs w:val="false"/>
          <w:i w:val="false"/>
          <w:iCs w:val="false"/>
          <w:color w:val="59595B"/>
          <w:sz w:val="22"/>
          <w:szCs w:val="22"/>
        </w:rPr>
        <w:t xml:space="preserve">Everything stated about Canusa Hershman is drawn from the company’s own website, trade press, or public records, and is cited in the Appendix. We have not assumed your internal financials, systems, or tonnage by division.</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labels every estimate. </w:t>
      </w:r>
      <w:r>
        <w:rPr>
          <w:rFonts w:ascii="Open Sans" w:cs="Open Sans" w:eastAsia="Open Sans" w:hAnsi="Open Sans"/>
          <w:b w:val="false"/>
          <w:bCs w:val="false"/>
          <w:i w:val="false"/>
          <w:iCs w:val="false"/>
          <w:color w:val="59595B"/>
          <w:sz w:val="22"/>
          <w:szCs w:val="22"/>
        </w:rPr>
        <w:t xml:space="preserve">Market figures, ROI ranges, and impact numbers are clearly marked as estimates or market-typical context — never presented as your results. The real numbers come from discovery.</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turns unknowns into questions. </w:t>
      </w:r>
      <w:r>
        <w:rPr>
          <w:rFonts w:ascii="Open Sans" w:cs="Open Sans" w:eastAsia="Open Sans" w:hAnsi="Open Sans"/>
          <w:b w:val="false"/>
          <w:bCs w:val="false"/>
          <w:i w:val="false"/>
          <w:iCs w:val="false"/>
          <w:color w:val="59595B"/>
          <w:sz w:val="22"/>
          <w:szCs w:val="22"/>
        </w:rPr>
        <w:t xml:space="preserve">Where an answer requires information only your team has, we ask rather than guess. Section 14 is a structured questionnaire that completes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A correction we made for accuracy</w:t>
            </w:r>
          </w:p>
          <w:p>
            <w:pPr>
              <w:keepNext/>
              <w:keepLines/>
              <w:spacing w:after="60" w:before="40" w:line="300"/>
            </w:pPr>
            <w:r>
              <w:rPr>
                <w:rFonts w:ascii="Open Sans" w:cs="Open Sans" w:eastAsia="Open Sans" w:hAnsi="Open Sans"/>
                <w:color w:val="59595B"/>
                <w:sz w:val="20"/>
                <w:szCs w:val="20"/>
              </w:rPr>
              <w:t xml:space="preserve">Three details that circulate about this account did not survive verification, so we have left them out and turned them into questions: an "ISO-certified" claim (no ISO 9001/14001 is published on your site), a "Plymouth, Michigan" headquarters (your verified HQ is Branford, CT), and a "Frontier Trading" partnership (no public record). If any are in fact true, tell us and we will fold them in.</w:t>
            </w:r>
          </w:p>
          <w:p>
            <w:pPr>
              <w:keepNext w:val="false"/>
              <w:keepLines/>
              <w:spacing w:after="60" w:before="40" w:line="300"/>
            </w:pPr>
            <w:r>
              <w:rPr>
                <w:rFonts w:ascii="Open Sans" w:cs="Open Sans" w:eastAsia="Open Sans" w:hAnsi="Open Sans"/>
                <w:color w:val="59595B"/>
                <w:sz w:val="20"/>
                <w:szCs w:val="20"/>
              </w:rPr>
              <w:t xml:space="preserve">That is the standard of evidence you should expect from every Technijian deliverable.</w:t>
            </w:r>
          </w:p>
        </w:tc>
      </w:tr>
    </w:tbl>
    <w:p>
      <w:pPr>
        <w:pStyle w:val="Heading1"/>
        <w:keepNext/>
        <w:pageBreakBefore/>
        <w:spacing w:after="120" w:before="0" w:line="240"/>
      </w:pPr>
      <w:r>
        <w:rPr>
          <w:rFonts w:ascii="Open Sans" w:cs="Open Sans" w:eastAsia="Open Sans" w:hAnsi="Open Sans"/>
          <w:color w:val="FFFFFF"/>
          <w:sz w:val="2"/>
          <w:szCs w:val="2"/>
        </w:rPr>
        <w:t xml:space="preserve">Contents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Contents</w:t>
            </w:r>
          </w:p>
        </w:tc>
      </w:tr>
    </w:tbl>
    <w:p>
      <w:pPr>
        <w:keepNext/>
        <w:spacing w:after="0" w:before="120"/>
      </w:pPr>
      <w:r>
        <w:t xml:space="preserve"/>
      </w:r>
    </w:p>
    <w:p>
      <w:pPr>
        <w:keepNext/>
        <w:spacing w:after="0" w:before="80"/>
      </w:pPr>
      <w:r>
        <w:t xml:space="preserve"/>
      </w:r>
    </w:p>
    <w:p>
      <w:pPr>
        <w:tabs>
          <w:tab w:val="left" w:pos="720"/>
        </w:tabs>
        <w:spacing w:after="56" w:before="56"/>
      </w:pPr>
      <w:r>
        <w:rPr>
          <w:rFonts w:ascii="Open Sans" w:cs="Open Sans" w:eastAsia="Open Sans" w:hAnsi="Open Sans"/>
          <w:b/>
          <w:bCs/>
          <w:color w:val="F67D4B"/>
          <w:sz w:val="22"/>
          <w:szCs w:val="22"/>
        </w:rPr>
        <w:t xml:space="preserve">01</w:t>
      </w:r>
      <w:r>
        <w:rPr>
          <w:rFonts w:ascii="Open Sans" w:cs="Open Sans" w:eastAsia="Open Sans" w:hAnsi="Open Sans"/>
          <w:color w:val="1A1A2E"/>
          <w:sz w:val="22"/>
          <w:szCs w:val="22"/>
        </w:rPr>
        <w:t xml:space="preserve">	The Company &amp; Market Position</w:t>
      </w:r>
    </w:p>
    <w:p>
      <w:pPr>
        <w:tabs>
          <w:tab w:val="left" w:pos="720"/>
        </w:tabs>
        <w:spacing w:after="56" w:before="56"/>
      </w:pPr>
      <w:r>
        <w:rPr>
          <w:rFonts w:ascii="Open Sans" w:cs="Open Sans" w:eastAsia="Open Sans" w:hAnsi="Open Sans"/>
          <w:b/>
          <w:bCs/>
          <w:color w:val="F67D4B"/>
          <w:sz w:val="22"/>
          <w:szCs w:val="22"/>
        </w:rPr>
        <w:t xml:space="preserve">02</w:t>
      </w:r>
      <w:r>
        <w:rPr>
          <w:rFonts w:ascii="Open Sans" w:cs="Open Sans" w:eastAsia="Open Sans" w:hAnsi="Open Sans"/>
          <w:color w:val="1A1A2E"/>
          <w:sz w:val="22"/>
          <w:szCs w:val="22"/>
        </w:rPr>
        <w:t xml:space="preserve">	How Canusa Hershman Trades</w:t>
      </w:r>
    </w:p>
    <w:p>
      <w:pPr>
        <w:tabs>
          <w:tab w:val="left" w:pos="720"/>
        </w:tabs>
        <w:spacing w:after="56" w:before="56"/>
      </w:pPr>
      <w:r>
        <w:rPr>
          <w:rFonts w:ascii="Open Sans" w:cs="Open Sans" w:eastAsia="Open Sans" w:hAnsi="Open Sans"/>
          <w:b/>
          <w:bCs/>
          <w:color w:val="F67D4B"/>
          <w:sz w:val="22"/>
          <w:szCs w:val="22"/>
        </w:rPr>
        <w:t xml:space="preserve">03</w:t>
      </w:r>
      <w:r>
        <w:rPr>
          <w:rFonts w:ascii="Open Sans" w:cs="Open Sans" w:eastAsia="Open Sans" w:hAnsi="Open Sans"/>
          <w:color w:val="1A1A2E"/>
          <w:sz w:val="22"/>
          <w:szCs w:val="22"/>
        </w:rPr>
        <w:t xml:space="preserve">	Industry &amp; Regulatory Landscape</w:t>
      </w:r>
    </w:p>
    <w:p>
      <w:pPr>
        <w:tabs>
          <w:tab w:val="left" w:pos="720"/>
        </w:tabs>
        <w:spacing w:after="56" w:before="56"/>
      </w:pPr>
      <w:r>
        <w:rPr>
          <w:rFonts w:ascii="Open Sans" w:cs="Open Sans" w:eastAsia="Open Sans" w:hAnsi="Open Sans"/>
          <w:b/>
          <w:bCs/>
          <w:color w:val="F67D4B"/>
          <w:sz w:val="22"/>
          <w:szCs w:val="22"/>
        </w:rPr>
        <w:t xml:space="preserve">04</w:t>
      </w:r>
      <w:r>
        <w:rPr>
          <w:rFonts w:ascii="Open Sans" w:cs="Open Sans" w:eastAsia="Open Sans" w:hAnsi="Open Sans"/>
          <w:color w:val="1A1A2E"/>
          <w:sz w:val="22"/>
          <w:szCs w:val="22"/>
        </w:rPr>
        <w:t xml:space="preserve">	Where the Growth &amp; Efficiency Live</w:t>
      </w:r>
    </w:p>
    <w:p>
      <w:pPr>
        <w:tabs>
          <w:tab w:val="left" w:pos="720"/>
        </w:tabs>
        <w:spacing w:after="56" w:before="56"/>
      </w:pPr>
      <w:r>
        <w:rPr>
          <w:rFonts w:ascii="Open Sans" w:cs="Open Sans" w:eastAsia="Open Sans" w:hAnsi="Open Sans"/>
          <w:b/>
          <w:bCs/>
          <w:color w:val="F67D4B"/>
          <w:sz w:val="22"/>
          <w:szCs w:val="22"/>
        </w:rPr>
        <w:t xml:space="preserve">05</w:t>
      </w:r>
      <w:r>
        <w:rPr>
          <w:rFonts w:ascii="Open Sans" w:cs="Open Sans" w:eastAsia="Open Sans" w:hAnsi="Open Sans"/>
          <w:color w:val="1A1A2E"/>
          <w:sz w:val="22"/>
          <w:szCs w:val="22"/>
        </w:rPr>
        <w:t xml:space="preserve">	The Trade Relationships</w:t>
      </w:r>
    </w:p>
    <w:p>
      <w:pPr>
        <w:tabs>
          <w:tab w:val="left" w:pos="720"/>
        </w:tabs>
        <w:spacing w:after="56" w:before="56"/>
      </w:pPr>
      <w:r>
        <w:rPr>
          <w:rFonts w:ascii="Open Sans" w:cs="Open Sans" w:eastAsia="Open Sans" w:hAnsi="Open Sans"/>
          <w:b/>
          <w:bCs/>
          <w:color w:val="F67D4B"/>
          <w:sz w:val="22"/>
          <w:szCs w:val="22"/>
        </w:rPr>
        <w:t xml:space="preserve">06</w:t>
      </w:r>
      <w:r>
        <w:rPr>
          <w:rFonts w:ascii="Open Sans" w:cs="Open Sans" w:eastAsia="Open Sans" w:hAnsi="Open Sans"/>
          <w:color w:val="1A1A2E"/>
          <w:sz w:val="22"/>
          <w:szCs w:val="22"/>
        </w:rPr>
        <w:t xml:space="preserve">	Competitive Landscape</w:t>
      </w:r>
    </w:p>
    <w:p>
      <w:pPr>
        <w:tabs>
          <w:tab w:val="left" w:pos="720"/>
        </w:tabs>
        <w:spacing w:after="56" w:before="56"/>
      </w:pPr>
      <w:r>
        <w:rPr>
          <w:rFonts w:ascii="Open Sans" w:cs="Open Sans" w:eastAsia="Open Sans" w:hAnsi="Open Sans"/>
          <w:b/>
          <w:bCs/>
          <w:color w:val="F67D4B"/>
          <w:sz w:val="22"/>
          <w:szCs w:val="22"/>
        </w:rPr>
        <w:t xml:space="preserve">07</w:t>
      </w:r>
      <w:r>
        <w:rPr>
          <w:rFonts w:ascii="Open Sans" w:cs="Open Sans" w:eastAsia="Open Sans" w:hAnsi="Open Sans"/>
          <w:color w:val="1A1A2E"/>
          <w:sz w:val="22"/>
          <w:szCs w:val="22"/>
        </w:rPr>
        <w:t xml:space="preserve">	Brand &amp; Digital Presence Audit</w:t>
      </w:r>
    </w:p>
    <w:p>
      <w:pPr>
        <w:tabs>
          <w:tab w:val="left" w:pos="720"/>
        </w:tabs>
        <w:spacing w:after="56" w:before="56"/>
      </w:pPr>
      <w:r>
        <w:rPr>
          <w:rFonts w:ascii="Open Sans" w:cs="Open Sans" w:eastAsia="Open Sans" w:hAnsi="Open Sans"/>
          <w:b/>
          <w:bCs/>
          <w:color w:val="F67D4B"/>
          <w:sz w:val="22"/>
          <w:szCs w:val="22"/>
        </w:rPr>
        <w:t xml:space="preserve">08</w:t>
      </w:r>
      <w:r>
        <w:rPr>
          <w:rFonts w:ascii="Open Sans" w:cs="Open Sans" w:eastAsia="Open Sans" w:hAnsi="Open Sans"/>
          <w:color w:val="1A1A2E"/>
          <w:sz w:val="22"/>
          <w:szCs w:val="22"/>
        </w:rPr>
        <w:t xml:space="preserve">	Technijian Capability Proof</w:t>
      </w:r>
    </w:p>
    <w:p>
      <w:pPr>
        <w:tabs>
          <w:tab w:val="left" w:pos="720"/>
        </w:tabs>
        <w:spacing w:after="56" w:before="56"/>
      </w:pPr>
      <w:r>
        <w:rPr>
          <w:rFonts w:ascii="Open Sans" w:cs="Open Sans" w:eastAsia="Open Sans" w:hAnsi="Open Sans"/>
          <w:b/>
          <w:bCs/>
          <w:color w:val="F67D4B"/>
          <w:sz w:val="22"/>
          <w:szCs w:val="22"/>
        </w:rPr>
        <w:t xml:space="preserve">09</w:t>
      </w:r>
      <w:r>
        <w:rPr>
          <w:rFonts w:ascii="Open Sans" w:cs="Open Sans" w:eastAsia="Open Sans" w:hAnsi="Open Sans"/>
          <w:color w:val="1A1A2E"/>
          <w:sz w:val="22"/>
          <w:szCs w:val="22"/>
        </w:rPr>
        <w:t xml:space="preserve">	Understanding AI — A Field Guide for Leadership</w:t>
      </w:r>
    </w:p>
    <w:p>
      <w:pPr>
        <w:tabs>
          <w:tab w:val="left" w:pos="720"/>
        </w:tabs>
        <w:spacing w:after="56" w:before="56"/>
      </w:pPr>
      <w:r>
        <w:rPr>
          <w:rFonts w:ascii="Open Sans" w:cs="Open Sans" w:eastAsia="Open Sans" w:hAnsi="Open Sans"/>
          <w:b/>
          <w:bCs/>
          <w:color w:val="F67D4B"/>
          <w:sz w:val="22"/>
          <w:szCs w:val="22"/>
        </w:rPr>
        <w:t xml:space="preserve">10</w:t>
      </w:r>
      <w:r>
        <w:rPr>
          <w:rFonts w:ascii="Open Sans" w:cs="Open Sans" w:eastAsia="Open Sans" w:hAnsi="Open Sans"/>
          <w:color w:val="1A1A2E"/>
          <w:sz w:val="22"/>
          <w:szCs w:val="22"/>
        </w:rPr>
        <w:t xml:space="preserve">	The AI Growth &amp; Integration Engine</w:t>
      </w:r>
    </w:p>
    <w:p>
      <w:pPr>
        <w:tabs>
          <w:tab w:val="left" w:pos="720"/>
        </w:tabs>
        <w:spacing w:after="56" w:before="56"/>
      </w:pPr>
      <w:r>
        <w:rPr>
          <w:rFonts w:ascii="Open Sans" w:cs="Open Sans" w:eastAsia="Open Sans" w:hAnsi="Open Sans"/>
          <w:b/>
          <w:bCs/>
          <w:color w:val="F67D4B"/>
          <w:sz w:val="22"/>
          <w:szCs w:val="22"/>
        </w:rPr>
        <w:t xml:space="preserve">11</w:t>
      </w:r>
      <w:r>
        <w:rPr>
          <w:rFonts w:ascii="Open Sans" w:cs="Open Sans" w:eastAsia="Open Sans" w:hAnsi="Open Sans"/>
          <w:color w:val="1A1A2E"/>
          <w:sz w:val="22"/>
          <w:szCs w:val="22"/>
        </w:rPr>
        <w:t xml:space="preserve">	Business Impact &amp; Investment</w:t>
      </w:r>
    </w:p>
    <w:p>
      <w:pPr>
        <w:tabs>
          <w:tab w:val="left" w:pos="720"/>
        </w:tabs>
        <w:spacing w:after="56" w:before="56"/>
      </w:pPr>
      <w:r>
        <w:rPr>
          <w:rFonts w:ascii="Open Sans" w:cs="Open Sans" w:eastAsia="Open Sans" w:hAnsi="Open Sans"/>
          <w:b/>
          <w:bCs/>
          <w:color w:val="F67D4B"/>
          <w:sz w:val="22"/>
          <w:szCs w:val="22"/>
        </w:rPr>
        <w:t xml:space="preserve">12</w:t>
      </w:r>
      <w:r>
        <w:rPr>
          <w:rFonts w:ascii="Open Sans" w:cs="Open Sans" w:eastAsia="Open Sans" w:hAnsi="Open Sans"/>
          <w:color w:val="1A1A2E"/>
          <w:sz w:val="22"/>
          <w:szCs w:val="22"/>
        </w:rPr>
        <w:t xml:space="preserve">	Implementation Roadmap</w:t>
      </w:r>
    </w:p>
    <w:p>
      <w:pPr>
        <w:tabs>
          <w:tab w:val="left" w:pos="720"/>
        </w:tabs>
        <w:spacing w:after="56" w:before="56"/>
      </w:pPr>
      <w:r>
        <w:rPr>
          <w:rFonts w:ascii="Open Sans" w:cs="Open Sans" w:eastAsia="Open Sans" w:hAnsi="Open Sans"/>
          <w:b/>
          <w:bCs/>
          <w:color w:val="F67D4B"/>
          <w:sz w:val="22"/>
          <w:szCs w:val="22"/>
        </w:rPr>
        <w:t xml:space="preserve">13</w:t>
      </w:r>
      <w:r>
        <w:rPr>
          <w:rFonts w:ascii="Open Sans" w:cs="Open Sans" w:eastAsia="Open Sans" w:hAnsi="Open Sans"/>
          <w:color w:val="1A1A2E"/>
          <w:sz w:val="22"/>
          <w:szCs w:val="22"/>
        </w:rPr>
        <w:t xml:space="preserve">	Quick Wins — Start This Week</w:t>
      </w:r>
    </w:p>
    <w:p>
      <w:pPr>
        <w:tabs>
          <w:tab w:val="left" w:pos="720"/>
        </w:tabs>
        <w:spacing w:after="56" w:before="56"/>
      </w:pPr>
      <w:r>
        <w:rPr>
          <w:rFonts w:ascii="Open Sans" w:cs="Open Sans" w:eastAsia="Open Sans" w:hAnsi="Open Sans"/>
          <w:b/>
          <w:bCs/>
          <w:color w:val="F67D4B"/>
          <w:sz w:val="22"/>
          <w:szCs w:val="22"/>
        </w:rPr>
        <w:t xml:space="preserve">14</w:t>
      </w:r>
      <w:r>
        <w:rPr>
          <w:rFonts w:ascii="Open Sans" w:cs="Open Sans" w:eastAsia="Open Sans" w:hAnsi="Open Sans"/>
          <w:color w:val="1A1A2E"/>
          <w:sz w:val="22"/>
          <w:szCs w:val="22"/>
        </w:rPr>
        <w:t xml:space="preserve">	Questions to Complete the Analysis</w:t>
      </w:r>
    </w:p>
    <w:p>
      <w:pPr>
        <w:tabs>
          <w:tab w:val="left" w:pos="720"/>
        </w:tabs>
        <w:spacing w:after="56" w:before="56"/>
      </w:pPr>
      <w:r>
        <w:rPr>
          <w:rFonts w:ascii="Open Sans" w:cs="Open Sans" w:eastAsia="Open Sans" w:hAnsi="Open Sans"/>
          <w:b/>
          <w:bCs/>
          <w:color w:val="F67D4B"/>
          <w:sz w:val="22"/>
          <w:szCs w:val="22"/>
        </w:rPr>
        <w:t xml:space="preserve">15</w:t>
      </w:r>
      <w:r>
        <w:rPr>
          <w:rFonts w:ascii="Open Sans" w:cs="Open Sans" w:eastAsia="Open Sans" w:hAnsi="Open Sans"/>
          <w:color w:val="1A1A2E"/>
          <w:sz w:val="22"/>
          <w:szCs w:val="22"/>
        </w:rPr>
        <w:t xml:space="preserve">	What Happens Next</w:t>
      </w:r>
    </w:p>
    <w:p>
      <w:pPr>
        <w:tabs>
          <w:tab w:val="left" w:pos="720"/>
        </w:tabs>
        <w:spacing w:after="56" w:before="56"/>
      </w:pPr>
      <w:r>
        <w:rPr>
          <w:rFonts w:ascii="Open Sans" w:cs="Open Sans" w:eastAsia="Open Sans" w:hAnsi="Open Sans"/>
          <w:b/>
          <w:bCs/>
          <w:color w:val="F67D4B"/>
          <w:sz w:val="22"/>
          <w:szCs w:val="22"/>
        </w:rPr>
        <w:t xml:space="preserve">·</w:t>
      </w:r>
      <w:r>
        <w:rPr>
          <w:rFonts w:ascii="Open Sans" w:cs="Open Sans" w:eastAsia="Open Sans" w:hAnsi="Open Sans"/>
          <w:color w:val="1A1A2E"/>
          <w:sz w:val="22"/>
          <w:szCs w:val="22"/>
        </w:rPr>
        <w:t xml:space="preserve">	About Technijian</w:t>
      </w:r>
    </w:p>
    <w:p>
      <w:pPr>
        <w:tabs>
          <w:tab w:val="left" w:pos="720"/>
        </w:tabs>
        <w:spacing w:after="56" w:before="56"/>
      </w:pPr>
      <w:r>
        <w:rPr>
          <w:rFonts w:ascii="Open Sans" w:cs="Open Sans" w:eastAsia="Open Sans" w:hAnsi="Open Sans"/>
          <w:b/>
          <w:bCs/>
          <w:color w:val="F67D4B"/>
          <w:sz w:val="22"/>
          <w:szCs w:val="22"/>
        </w:rPr>
        <w:t xml:space="preserve">·</w:t>
      </w:r>
      <w:r>
        <w:rPr>
          <w:rFonts w:ascii="Open Sans" w:cs="Open Sans" w:eastAsia="Open Sans" w:hAnsi="Open Sans"/>
          <w:color w:val="1A1A2E"/>
          <w:sz w:val="22"/>
          <w:szCs w:val="22"/>
        </w:rPr>
        <w:t xml:space="preserve">	Appendix — Sources &amp; What Remains to Confirm</w:t>
      </w:r>
    </w:p>
    <w:p>
      <w:pPr>
        <w:pStyle w:val="Heading1"/>
        <w:keepNext/>
        <w:pageBreakBefore/>
        <w:spacing w:after="120" w:before="0" w:line="240"/>
      </w:pPr>
      <w:r>
        <w:rPr>
          <w:rFonts w:ascii="Open Sans" w:cs="Open Sans" w:eastAsia="Open Sans" w:hAnsi="Open Sans"/>
          <w:color w:val="FFFFFF"/>
          <w:sz w:val="2"/>
          <w:szCs w:val="2"/>
        </w:rPr>
        <w:t xml:space="preserve">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Executive Summary</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Canusa Hershman is an independent, founder- and family-held group that sits in the middle of a two-sided global trade: it sources recovered fiber, plastics, and metals from generators across North America and beyond, finances and moves the material, and sells it to paper mills and material consumers worldwide. Since rebranding from "Canusa Hershman Recycling Company" to a parent brand in 2021, it has operated as a group of divisions — the core trading business, Recycle 1 processing, BA/CH Polymers, Evergreen Fibres, Pulp &amp; Alternative Fibers, and the Newport CH export joint venture — and it has been the consolidator in its market, acquiring rather than being acquired.</w:t>
      </w:r>
    </w:p>
    <w:p>
      <w:pPr>
        <w:spacing w:after="120" w:before="0" w:line="320"/>
        <w:jc w:val="both"/>
      </w:pPr>
      <w:r>
        <w:rPr>
          <w:rFonts w:ascii="Open Sans" w:cs="Open Sans" w:eastAsia="Open Sans" w:hAnsi="Open Sans"/>
          <w:b w:val="false"/>
          <w:bCs w:val="false"/>
          <w:i w:val="false"/>
          <w:iCs w:val="false"/>
          <w:color w:val="59595B"/>
          <w:sz w:val="22"/>
          <w:szCs w:val="22"/>
        </w:rPr>
        <w:t xml:space="preserve">This blueprint shows where AI creates measurable value for a business like that, on two fronts at once: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6"/>
                <w:szCs w:val="46"/>
              </w:rPr>
              <w:t xml:space="preserve">2002</w:t>
            </w:r>
          </w:p>
          <w:p>
            <w:pPr>
              <w:jc w:val="center"/>
            </w:pPr>
            <w:r>
              <w:rPr>
                <w:rFonts w:ascii="Open Sans" w:cs="Open Sans" w:eastAsia="Open Sans" w:hAnsi="Open Sans"/>
                <w:color w:val="59595B"/>
                <w:sz w:val="16"/>
                <w:szCs w:val="16"/>
              </w:rPr>
              <w:t xml:space="preserve">Founded (roots to 1887)</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6"/>
                <w:szCs w:val="46"/>
              </w:rPr>
              <w:t xml:space="preserve">1M+</w:t>
            </w:r>
          </w:p>
          <w:p>
            <w:pPr>
              <w:jc w:val="center"/>
            </w:pPr>
            <w:r>
              <w:rPr>
                <w:rFonts w:ascii="Open Sans" w:cs="Open Sans" w:eastAsia="Open Sans" w:hAnsi="Open Sans"/>
                <w:color w:val="59595B"/>
                <w:sz w:val="16"/>
                <w:szCs w:val="16"/>
              </w:rPr>
              <w:t xml:space="preserve">Tons/yr traded (self-reported)</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6"/>
                <w:szCs w:val="46"/>
              </w:rPr>
              <w:t xml:space="preserve">6</w:t>
            </w:r>
          </w:p>
          <w:p>
            <w:pPr>
              <w:jc w:val="center"/>
            </w:pPr>
            <w:r>
              <w:rPr>
                <w:rFonts w:ascii="Open Sans" w:cs="Open Sans" w:eastAsia="Open Sans" w:hAnsi="Open Sans"/>
                <w:color w:val="59595B"/>
                <w:sz w:val="16"/>
                <w:szCs w:val="16"/>
              </w:rPr>
              <w:t xml:space="preserve">Operating divisions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6"/>
                <w:szCs w:val="46"/>
              </w:rPr>
              <w:t xml:space="preserve">cieTrade</w:t>
            </w:r>
          </w:p>
          <w:p>
            <w:pPr>
              <w:jc w:val="center"/>
            </w:pPr>
            <w:r>
              <w:rPr>
                <w:rFonts w:ascii="Open Sans" w:cs="Open Sans" w:eastAsia="Open Sans" w:hAnsi="Open Sans"/>
                <w:color w:val="59595B"/>
                <w:sz w:val="16"/>
                <w:szCs w:val="16"/>
              </w:rPr>
              <w:t xml:space="preserve">Core system of record</w:t>
            </w:r>
          </w:p>
        </w:tc>
      </w:tr>
    </w:tbl>
    <w:p>
      <w:pPr>
        <w:keepNext/>
        <w:spacing w:after="0" w:before="16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Front one — grow the trade. </w:t>
      </w:r>
      <w:r>
        <w:rPr>
          <w:rFonts w:ascii="Open Sans" w:cs="Open Sans" w:eastAsia="Open Sans" w:hAnsi="Open Sans"/>
          <w:b w:val="false"/>
          <w:bCs w:val="false"/>
          <w:i w:val="false"/>
          <w:iCs w:val="false"/>
          <w:color w:val="59595B"/>
          <w:sz w:val="22"/>
          <w:szCs w:val="22"/>
        </w:rPr>
        <w:t xml:space="preserve">A commodities trader grows by deepening relationships on both sides — more supply placed, more offtake secured, better timing on price. AI does not replace the trader; it arms them: market-signal and price decision-support, account and credit intelligence, pre-call dossiers, and authority content that makes Canusa Hershman the cited name when a generator or mill searches for a partner.</w:t>
      </w:r>
    </w:p>
    <w:p>
      <w:pPr>
        <w:spacing w:after="120" w:before="0" w:line="320"/>
        <w:jc w:val="both"/>
      </w:pPr>
      <w:r>
        <w:rPr>
          <w:rFonts w:ascii="Open Sans" w:cs="Open Sans" w:eastAsia="Open Sans" w:hAnsi="Open Sans"/>
          <w:b/>
          <w:bCs/>
          <w:i w:val="false"/>
          <w:iCs w:val="false"/>
          <w:color w:val="1A1A2E"/>
          <w:sz w:val="22"/>
          <w:szCs w:val="22"/>
        </w:rPr>
        <w:t xml:space="preserve">Front two — integrate and run leaner. </w:t>
      </w:r>
      <w:r>
        <w:rPr>
          <w:rFonts w:ascii="Open Sans" w:cs="Open Sans" w:eastAsia="Open Sans" w:hAnsi="Open Sans"/>
          <w:b w:val="false"/>
          <w:bCs w:val="false"/>
          <w:i w:val="false"/>
          <w:iCs w:val="false"/>
          <w:color w:val="59595B"/>
          <w:sz w:val="22"/>
          <w:szCs w:val="22"/>
        </w:rPr>
        <w:t xml:space="preserve">The back office is where the fastest, lowest-risk returns sit: automating bills of lading, customs declarations, and certificates of origin into cieTrade; self-serve portals and a chatbot for suppliers and customers; logistics and container optimization on export; and sustainability reporting. This is the efficiency front the April introduction letter already pointed to.</w:t>
      </w:r>
    </w:p>
    <w:p>
      <w:pPr>
        <w:spacing w:after="120" w:before="0" w:line="320"/>
        <w:jc w:val="both"/>
      </w:pPr>
      <w:r>
        <w:rPr>
          <w:rFonts w:ascii="Open Sans" w:cs="Open Sans" w:eastAsia="Open Sans" w:hAnsi="Open Sans"/>
          <w:b/>
          <w:bCs/>
          <w:i w:val="false"/>
          <w:iCs w:val="false"/>
          <w:color w:val="1A1A2E"/>
          <w:sz w:val="22"/>
          <w:szCs w:val="22"/>
        </w:rPr>
        <w:t xml:space="preserve">The method is conservative on purpose. </w:t>
      </w:r>
      <w:r>
        <w:rPr>
          <w:rFonts w:ascii="Open Sans" w:cs="Open Sans" w:eastAsia="Open Sans" w:hAnsi="Open Sans"/>
          <w:b w:val="false"/>
          <w:bCs w:val="false"/>
          <w:i w:val="false"/>
          <w:iCs w:val="false"/>
          <w:color w:val="59595B"/>
          <w:sz w:val="22"/>
          <w:szCs w:val="22"/>
        </w:rPr>
        <w:t xml:space="preserve">You will not find an invented revenue figure or a guessed ROI here — the public revenue numbers for the group conflict, so we cite none as fact. Investment is shown as real, published Technijian service ranges; returns are modeled only after a discovery call calibrates them against your real trade margins and volumes (Section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one idea to carry into the conversation</w:t>
            </w:r>
          </w:p>
          <w:p>
            <w:pPr>
              <w:keepNext w:val="false"/>
              <w:keepLines/>
              <w:spacing w:after="60" w:before="40" w:line="300"/>
            </w:pPr>
            <w:r>
              <w:rPr>
                <w:rFonts w:ascii="Open Sans" w:cs="Open Sans" w:eastAsia="Open Sans" w:hAnsi="Open Sans"/>
                <w:color w:val="59595B"/>
                <w:sz w:val="20"/>
                <w:szCs w:val="20"/>
              </w:rPr>
              <w:t xml:space="preserve">AI plugs into the system you already run — cieTrade — and into the relationships your traders already own. The win is a trader who walks into every call already briefed, a back office that stops re-keying documents, and a brand that finally shows up when the market goes looking. We start small, prove it, then scale.</w:t>
            </w:r>
          </w:p>
        </w:tc>
      </w:tr>
    </w:tbl>
    <w:p>
      <w:pPr>
        <w:pStyle w:val="Heading1"/>
        <w:keepNext/>
        <w:pageBreakBefore/>
        <w:spacing w:after="120" w:before="0" w:line="240"/>
      </w:pPr>
      <w:r>
        <w:rPr>
          <w:rFonts w:ascii="Open Sans" w:cs="Open Sans" w:eastAsia="Open Sans" w:hAnsi="Open Sans"/>
          <w:color w:val="FFFFFF"/>
          <w:sz w:val="2"/>
          <w:szCs w:val="2"/>
        </w:rPr>
        <w:t xml:space="preserve">01  The Company &amp; Market Position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The Company &amp; Market Position</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Everything in this section is drawn from Canusa Hershman’s own website, trade press, and public registries (see Appendix).</w:t>
      </w:r>
    </w:p>
    <w:p>
      <w:pPr>
        <w:pStyle w:val="Heading2"/>
        <w:keepNext/>
        <w:keepLines/>
        <w:spacing w:after="130" w:before="300"/>
      </w:pPr>
      <w:r>
        <w:rPr>
          <w:rFonts w:ascii="Open Sans" w:cs="Open Sans" w:eastAsia="Open Sans" w:hAnsi="Open Sans"/>
          <w:b/>
          <w:bCs/>
          <w:color w:val="006DB6"/>
          <w:sz w:val="27"/>
          <w:szCs w:val="27"/>
        </w:rPr>
        <w:t xml:space="preserve">A group, not a single company</w:t>
      </w:r>
    </w:p>
    <w:p>
      <w:pPr>
        <w:spacing w:after="100" w:before="0" w:line="320"/>
        <w:jc w:val="both"/>
      </w:pPr>
      <w:r>
        <w:rPr>
          <w:rFonts w:ascii="Open Sans" w:cs="Open Sans" w:eastAsia="Open Sans" w:hAnsi="Open Sans"/>
          <w:b w:val="false"/>
          <w:bCs w:val="false"/>
          <w:i w:val="false"/>
          <w:iCs w:val="false"/>
          <w:color w:val="59595B"/>
          <w:sz w:val="22"/>
          <w:szCs w:val="22"/>
        </w:rPr>
        <w:t xml:space="preserve">In January 2021 the business rebranded from "Canusa Hershman Recycling Company" to "Canusa Hershman" as a parent brand, with the original trading company (CHRC) becoming one division among several. The enterprise today is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497"/>
        <w:gridCol w:w="5430"/>
      </w:tblGrid>
      <w:tr>
        <w:trPr>
          <w:tblHeader/>
        </w:trPr>
        <w:tc>
          <w:tcPr>
            <w:tcW w:type="dxa" w:w="2433"/>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Division</w:t>
            </w:r>
          </w:p>
        </w:tc>
        <w:tc>
          <w:tcPr>
            <w:tcW w:type="dxa" w:w="1497"/>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Origin</w:t>
            </w:r>
          </w:p>
        </w:tc>
        <w:tc>
          <w:tcPr>
            <w:tcW w:type="dxa" w:w="543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Role</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Canusa Hershman Recycling (CHRC)</w:t>
            </w:r>
          </w:p>
        </w:tc>
        <w:tc>
          <w:tcPr>
            <w:tcW w:type="dxa" w:w="149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2002</w:t>
            </w:r>
          </w:p>
        </w:tc>
        <w:tc>
          <w:tcPr>
            <w:tcW w:type="dxa" w:w="543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Core trading of recovered fiber, plastics, and metals; the original operating company.</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Recycle 1</w:t>
            </w:r>
          </w:p>
        </w:tc>
        <w:tc>
          <w:tcPr>
            <w:tcW w:type="dxa" w:w="149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acq. 2022</w:t>
            </w:r>
          </w:p>
        </w:tc>
        <w:tc>
          <w:tcPr>
            <w:tcW w:type="dxa" w:w="543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Processing operations across four plants, including the former Arizona Pacific Pulp &amp; Paper in Phoenix.</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BA/CH Polymers</w:t>
            </w:r>
          </w:p>
        </w:tc>
        <w:tc>
          <w:tcPr>
            <w:tcW w:type="dxa" w:w="149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2009</w:t>
            </w:r>
          </w:p>
        </w:tc>
        <w:tc>
          <w:tcPr>
            <w:tcW w:type="dxa" w:w="543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Recycled and virgin plastic resin trading.</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Evergreen Fibres</w:t>
            </w:r>
          </w:p>
        </w:tc>
        <w:tc>
          <w:tcPr>
            <w:tcW w:type="dxa" w:w="149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acq. 2021</w:t>
            </w:r>
          </w:p>
        </w:tc>
        <w:tc>
          <w:tcPr>
            <w:tcW w:type="dxa" w:w="543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Containerboard and packaging papers (Paper Alliance, Alliance Paperboard).</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Pulp &amp; Alternative Fibers</w:t>
            </w:r>
          </w:p>
        </w:tc>
        <w:tc>
          <w:tcPr>
            <w:tcW w:type="dxa" w:w="149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pre-2021</w:t>
            </w:r>
          </w:p>
        </w:tc>
        <w:tc>
          <w:tcPr>
            <w:tcW w:type="dxa" w:w="543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Low-carbon pulp and alternative-fiber trading.</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Newport CH International</w:t>
            </w:r>
          </w:p>
        </w:tc>
        <w:tc>
          <w:tcPr>
            <w:tcW w:type="dxa" w:w="149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JV 2003</w:t>
            </w:r>
          </w:p>
        </w:tc>
        <w:tc>
          <w:tcPr>
            <w:tcW w:type="dxa" w:w="543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Export joint venture (Orange, CA) into Asia and Latin America.</w:t>
            </w:r>
          </w:p>
        </w:tc>
      </w:tr>
    </w:tbl>
    <w:p>
      <w:pPr>
        <w:pStyle w:val="Heading2"/>
        <w:keepNext/>
        <w:keepLines/>
        <w:spacing w:after="130" w:before="300"/>
      </w:pPr>
      <w:r>
        <w:rPr>
          <w:rFonts w:ascii="Open Sans" w:cs="Open Sans" w:eastAsia="Open Sans" w:hAnsi="Open Sans"/>
          <w:b/>
          <w:bCs/>
          <w:color w:val="006DB6"/>
          <w:sz w:val="27"/>
          <w:szCs w:val="27"/>
        </w:rPr>
        <w:t xml:space="preserve">Independent, and the consolidator</w:t>
      </w:r>
    </w:p>
    <w:p>
      <w:pPr>
        <w:spacing w:after="120" w:before="0" w:line="320"/>
        <w:jc w:val="both"/>
      </w:pPr>
      <w:r>
        <w:rPr>
          <w:rFonts w:ascii="Open Sans" w:cs="Open Sans" w:eastAsia="Open Sans" w:hAnsi="Open Sans"/>
          <w:b/>
          <w:bCs/>
          <w:i w:val="false"/>
          <w:iCs w:val="false"/>
          <w:color w:val="1A1A2E"/>
          <w:sz w:val="22"/>
          <w:szCs w:val="22"/>
        </w:rPr>
        <w:t xml:space="preserve">This is an independent, founder- and family-held LLC — not private-equity-owned and not a strategic acquisition target. </w:t>
      </w:r>
      <w:r>
        <w:rPr>
          <w:rFonts w:ascii="Open Sans" w:cs="Open Sans" w:eastAsia="Open Sans" w:hAnsi="Open Sans"/>
          <w:b w:val="false"/>
          <w:bCs w:val="false"/>
          <w:i w:val="false"/>
          <w:iCs w:val="false"/>
          <w:color w:val="59595B"/>
          <w:sz w:val="22"/>
          <w:szCs w:val="22"/>
        </w:rPr>
        <w:t xml:space="preserve">The Hershman side traces to 1887 in New Haven, Connecticut; the Canusa side was founded in 1981 by Bruce W. Fleming; the two merged in 2002. Since 2020 the group has been buying (Mehali, Evergreen Fibres, Recycle 1/Arizona Pacific), not being bought. A separate Fleming-family investment company, Canusa Corporation, holds an equity interest. For this plan, that matters: Canusa Hershman is a scale player extending its lead, and AI is a lever to widen the gap — not a turnaround.</w:t>
      </w:r>
    </w:p>
    <w:p>
      <w:pPr>
        <w:pStyle w:val="Heading2"/>
        <w:keepNext/>
        <w:keepLines/>
        <w:spacing w:after="130" w:before="300"/>
      </w:pPr>
      <w:r>
        <w:rPr>
          <w:rFonts w:ascii="Open Sans" w:cs="Open Sans" w:eastAsia="Open Sans" w:hAnsi="Open Sans"/>
          <w:b/>
          <w:bCs/>
          <w:color w:val="006DB6"/>
          <w:sz w:val="27"/>
          <w:szCs w:val="27"/>
        </w:rPr>
        <w:t xml:space="preserve">Scale, leadership, and footprint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tblHeader/>
        </w:trPr>
        <w:tc>
          <w:tcPr>
            <w:tcW w:type="dxa" w:w="2433"/>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Attribute</w:t>
            </w:r>
          </w:p>
        </w:tc>
        <w:tc>
          <w:tcPr>
            <w:tcW w:type="dxa" w:w="6927"/>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Verified fact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Headquarters</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Branford, Connecticut (45 Northeast Industrial Road). Plants/offices in Baltimore MD, St Albans VT, Wellford SC, and Phoenix AZ; Newport CH in Orange CA; a registered UK entity in Canterbury.</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Scale</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Self-reports "more than one million tons per year" of recovered fiber, plastics and metals plus "200+ million pounds" of plastic resin; trade press (2022) cited 105,000+ tons per month. Employee band 51–200 (LinkedIn).</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Leadership</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John Daniel, CEO; Ethan Hershman and Bruce W. Fleming, Co-Chairmen; Todd Laggis, CFO (all verified in company and trade-press sources).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Export reach</w:t>
            </w:r>
          </w:p>
        </w:tc>
        <w:tc>
          <w:tcPr>
            <w:tcW w:type="dxa" w:w="692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Described as one of the industry’s largest direct exporters to Latin America, India, and Southeast Asia.</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Revenue</w:t>
            </w:r>
          </w:p>
        </w:tc>
        <w:tc>
          <w:tcPr>
            <w:tcW w:type="dxa" w:w="692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Not stated as a verified fact — public figures conflict ($100M+ at the 2002 merger; a ~$400M order-of-magnitude in a third-party bio; an implausible data-broker figure). We cite no hard revenue and treat this as a discovery item.</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What we have NOT assumed</w:t>
            </w:r>
          </w:p>
          <w:p>
            <w:pPr>
              <w:keepNext w:val="false"/>
              <w:keepLines/>
              <w:spacing w:after="60" w:before="40" w:line="300"/>
            </w:pPr>
            <w:r>
              <w:rPr>
                <w:rFonts w:ascii="Open Sans" w:cs="Open Sans" w:eastAsia="Open Sans" w:hAnsi="Open Sans"/>
                <w:color w:val="59595B"/>
                <w:sz w:val="20"/>
                <w:szCs w:val="20"/>
              </w:rPr>
              <w:t xml:space="preserve">We do not know, and have not guessed: tonnage or revenue by division; which recovered-paper grades and metals you trade; your rail-versus-ocean mix; whether you hold ISO certifications; or how price, credit, and trade documents are handled today. These are the questions in Section 14.</w:t>
            </w:r>
          </w:p>
        </w:tc>
      </w:tr>
    </w:tbl>
    <w:p>
      <w:pPr>
        <w:pStyle w:val="Heading1"/>
        <w:keepNext/>
        <w:pageBreakBefore/>
        <w:spacing w:after="120" w:before="0" w:line="240"/>
      </w:pPr>
      <w:r>
        <w:rPr>
          <w:rFonts w:ascii="Open Sans" w:cs="Open Sans" w:eastAsia="Open Sans" w:hAnsi="Open Sans"/>
          <w:color w:val="FFFFFF"/>
          <w:sz w:val="2"/>
          <w:szCs w:val="2"/>
        </w:rPr>
        <w:t xml:space="preserve">02  How Canusa Hershman Trades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How Canusa Hershman Trades</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Canusa Hershman describes its value to the market in three parts — and each is a place where AI and integration can sharpen the edge.</w:t>
      </w:r>
    </w:p>
    <w:p>
      <w:pPr>
        <w:keepNext/>
        <w:spacing w:after="60" w:before="120"/>
        <w:jc w:val="center"/>
      </w:pPr>
      <w:r>
        <w:drawing>
          <wp:inline distT="0" distB="0" distL="0" distR="0">
            <wp:extent cx="5829300" cy="3267075"/>
            <wp:effectExtent t="0" r="0" b="0" l="0"/>
            <wp:docPr id="1" name="How Canusa Hershman trades the market" descr="How Canusa Hershman trades the market" title="How Canusa Hershman trades the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32670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02.0 — A two-sided trade: source and process, finance and move, sell to mills and consumers worldwide.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118"/>
        <w:gridCol w:w="2434"/>
      </w:tblGrid>
      <w:tr>
        <w:trPr>
          <w:tblHeader/>
        </w:trPr>
        <w:tc>
          <w:tcPr>
            <w:tcW w:type="dxa" w:w="2808"/>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The value Canusa Hershman provides</w:t>
            </w:r>
          </w:p>
        </w:tc>
        <w:tc>
          <w:tcPr>
            <w:tcW w:type="dxa" w:w="4118"/>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means</w:t>
            </w:r>
          </w:p>
        </w:tc>
        <w:tc>
          <w:tcPr>
            <w:tcW w:type="dxa" w:w="2434"/>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Where AI sharpens it</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Market access</w:t>
            </w:r>
          </w:p>
        </w:tc>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Global trading relationships that place tonnage and secure offtake across domestic and export markets.</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Account &amp; price intelligence; authority content.</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Financial solutions</w:t>
            </w:r>
          </w:p>
        </w:tc>
        <w:tc>
          <w:tcPr>
            <w:tcW w:type="dxa" w:w="411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Prompt payment to suppliers, flexible/extended terms to customers, and equipment financing.</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Credit-risk scoring; exposure monitoring.</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Supply-chain management</w:t>
            </w:r>
          </w:p>
        </w:tc>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Pickup, delivery, and logistics through shipping lines, forwarders, haulers, and warehouses.</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Trade-doc automation; container/lane optimization.</w:t>
            </w:r>
          </w:p>
        </w:tc>
      </w:tr>
    </w:tbl>
    <w:p>
      <w:pPr>
        <w:keepNext/>
        <w:spacing w:after="0" w:before="8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The system of record is cieTrade. </w:t>
      </w:r>
      <w:r>
        <w:rPr>
          <w:rFonts w:ascii="Open Sans" w:cs="Open Sans" w:eastAsia="Open Sans" w:hAnsi="Open Sans"/>
          <w:b w:val="false"/>
          <w:bCs w:val="false"/>
          <w:i w:val="false"/>
          <w:iCs w:val="false"/>
          <w:color w:val="59595B"/>
          <w:sz w:val="22"/>
          <w:szCs w:val="22"/>
        </w:rPr>
        <w:t xml:space="preserve">The company’s supplier and customer portals run on cieTrade, the recovered-materials trading platform. That is the single most important fact for an integration plan: the highest-value AI here does not replace cieTrade — it reads from and writes to it, so traders and the back office work inside the system they already trust.</w:t>
      </w:r>
    </w:p>
    <w:p>
      <w:pPr>
        <w:pStyle w:val="Heading1"/>
        <w:keepNext/>
        <w:pageBreakBefore/>
        <w:spacing w:after="120" w:before="0" w:line="240"/>
      </w:pPr>
      <w:r>
        <w:rPr>
          <w:rFonts w:ascii="Open Sans" w:cs="Open Sans" w:eastAsia="Open Sans" w:hAnsi="Open Sans"/>
          <w:color w:val="FFFFFF"/>
          <w:sz w:val="2"/>
          <w:szCs w:val="2"/>
        </w:rPr>
        <w:t xml:space="preserve">03  Industry &amp; Regulatory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Industry &amp; Regulatory Landscape</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Recovered-materials trading is a margin-thin, logistics-heavy business reshaped by global policy. The forces below are facts about the market Canusa Hershman operates in — not claims about the company — and each rewards better information and faster, cleaner paperwork. Sources are listed in the Appendix.</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6"/>
                <w:szCs w:val="46"/>
              </w:rPr>
              <w:t xml:space="preserve">~27%</w:t>
            </w:r>
          </w:p>
          <w:p>
            <w:pPr>
              <w:jc w:val="center"/>
            </w:pPr>
            <w:r>
              <w:rPr>
                <w:rFonts w:ascii="Open Sans" w:cs="Open Sans" w:eastAsia="Open Sans" w:hAnsi="Open Sans"/>
                <w:color w:val="59595B"/>
                <w:sz w:val="16"/>
                <w:szCs w:val="16"/>
              </w:rPr>
              <w:t xml:space="preserve">of US recovered paper exported (falling 3 yrs)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6"/>
                <w:szCs w:val="46"/>
              </w:rPr>
              <w:t xml:space="preserve">&gt;8M</w:t>
            </w:r>
          </w:p>
          <w:p>
            <w:pPr>
              <w:jc w:val="center"/>
            </w:pPr>
            <w:r>
              <w:rPr>
                <w:rFonts w:ascii="Open Sans" w:cs="Open Sans" w:eastAsia="Open Sans" w:hAnsi="Open Sans"/>
                <w:color w:val="59595B"/>
                <w:sz w:val="16"/>
                <w:szCs w:val="16"/>
              </w:rPr>
              <w:t xml:space="preserve">tons/yr new domestic recycled-fiber capacity since 2018</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6"/>
                <w:szCs w:val="46"/>
              </w:rPr>
              <w:t xml:space="preserve">7</w:t>
            </w:r>
          </w:p>
          <w:p>
            <w:pPr>
              <w:jc w:val="center"/>
            </w:pPr>
            <w:r>
              <w:rPr>
                <w:rFonts w:ascii="Open Sans" w:cs="Open Sans" w:eastAsia="Open Sans" w:hAnsi="Open Sans"/>
                <w:color w:val="59595B"/>
                <w:sz w:val="16"/>
                <w:szCs w:val="16"/>
              </w:rPr>
              <w:t xml:space="preserve">US states with packaging EPR laws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6"/>
                <w:szCs w:val="46"/>
              </w:rPr>
              <w:t xml:space="preserve">2018</w:t>
            </w:r>
          </w:p>
          <w:p>
            <w:pPr>
              <w:jc w:val="center"/>
            </w:pPr>
            <w:r>
              <w:rPr>
                <w:rFonts w:ascii="Open Sans" w:cs="Open Sans" w:eastAsia="Open Sans" w:hAnsi="Open Sans"/>
                <w:color w:val="59595B"/>
                <w:sz w:val="16"/>
                <w:szCs w:val="16"/>
              </w:rPr>
              <w:t xml:space="preserve">China "National Sword" inflection</w:t>
            </w:r>
          </w:p>
        </w:tc>
      </w:tr>
    </w:tbl>
    <w:p>
      <w:pPr>
        <w:keepNext/>
        <w:spacing w:after="0" w:before="150"/>
      </w:pPr>
      <w:r>
        <w:t xml:space="preserve"/>
      </w:r>
    </w:p>
    <w:p>
      <w:pPr>
        <w:pStyle w:val="Heading3"/>
        <w:keepNext/>
        <w:spacing w:after="90" w:before="220"/>
      </w:pPr>
      <w:r>
        <w:rPr>
          <w:rFonts w:ascii="Open Sans" w:cs="Open Sans" w:eastAsia="Open Sans" w:hAnsi="Open Sans"/>
          <w:b/>
          <w:bCs/>
          <w:color w:val="1A1A2E"/>
          <w:sz w:val="24"/>
          <w:szCs w:val="24"/>
        </w:rPr>
        <w:t xml:space="preserve">The demand map redrew — and is tilting domestic</w:t>
      </w:r>
    </w:p>
    <w:p>
      <w:pPr>
        <w:spacing w:after="120" w:before="0" w:line="320"/>
        <w:jc w:val="both"/>
      </w:pPr>
      <w:r>
        <w:rPr>
          <w:rFonts w:ascii="Open Sans" w:cs="Open Sans" w:eastAsia="Open Sans" w:hAnsi="Open Sans"/>
          <w:b w:val="false"/>
          <w:bCs w:val="false"/>
          <w:i w:val="false"/>
          <w:iCs w:val="false"/>
          <w:color w:val="59595B"/>
          <w:sz w:val="22"/>
          <w:szCs w:val="22"/>
        </w:rPr>
        <w:t xml:space="preserve">China’s "National Sword" ban (effective January 1, 2018, with a 0.5% contamination limit) collapsed export demand and prices almost overnight: average OCC fell from roughly $174/ton in 2017 to about $25/ton by 2019, and mixed paper went to $0 and briefly negative. Redirected tonnage to Southeast Asia closed almost as fast. The lasting effect is that roughly 73% of US recovered paper is now consumed domestically, with exports declining three years running — even as the counterweight builds: more than 8 million tons per year of new 100%-recycled US mill capacity has come online since 2018 (Green Bay Packaging, Pratt, Cascades Bear Island, Domtar Kingsport, Graphic Packaging). In this market, knowing in near-real time where a grade clears best is a direct margin lever.</w:t>
      </w:r>
    </w:p>
    <w:p>
      <w:pPr>
        <w:pStyle w:val="Heading3"/>
        <w:keepNext/>
        <w:spacing w:after="90" w:before="220"/>
      </w:pPr>
      <w:r>
        <w:rPr>
          <w:rFonts w:ascii="Open Sans" w:cs="Open Sans" w:eastAsia="Open Sans" w:hAnsi="Open Sans"/>
          <w:b/>
          <w:bCs/>
          <w:color w:val="1A1A2E"/>
          <w:sz w:val="24"/>
          <w:szCs w:val="24"/>
        </w:rPr>
        <w:t xml:space="preserve">Plastics and packaging face tightening rules</w:t>
      </w:r>
    </w:p>
    <w:p>
      <w:pPr>
        <w:spacing w:after="120" w:before="0" w:line="320"/>
        <w:jc w:val="both"/>
      </w:pPr>
      <w:r>
        <w:rPr>
          <w:rFonts w:ascii="Open Sans" w:cs="Open Sans" w:eastAsia="Open Sans" w:hAnsi="Open Sans"/>
          <w:b w:val="false"/>
          <w:bCs w:val="false"/>
          <w:i w:val="false"/>
          <w:iCs w:val="false"/>
          <w:color w:val="59595B"/>
          <w:sz w:val="22"/>
          <w:szCs w:val="22"/>
        </w:rPr>
        <w:t xml:space="preserve">The Basel Convention plastic-waste amendments (in force 2021) brought most plastic-scrap exports under prior-consent controls — and because the United States is not a Basel Party, US exporters of mixed or contaminated plastic are effectively limited to OECD destinations plus Canada and Mexico; only clean, single-resin material still moves freely. In parallel, seven US states have enacted packaging Extended Producer Responsibility laws (Maine, Oregon, Colorado, California, Minnesota, Maryland, Washington), with California’s SB 54 rules taking effect in 2026 and fee structures that tilt producers toward fiber. The common thread is more compliance documentation per shipment — exactly the repetitive, error-prone work AI document processing was built for.</w:t>
      </w:r>
    </w:p>
    <w:p>
      <w:pPr>
        <w:pStyle w:val="Heading3"/>
        <w:keepNext/>
        <w:spacing w:after="90" w:before="220"/>
      </w:pPr>
      <w:r>
        <w:rPr>
          <w:rFonts w:ascii="Open Sans" w:cs="Open Sans" w:eastAsia="Open Sans" w:hAnsi="Open Sans"/>
          <w:b/>
          <w:bCs/>
          <w:color w:val="1A1A2E"/>
          <w:sz w:val="24"/>
          <w:szCs w:val="24"/>
        </w:rPr>
        <w:t xml:space="preserve">Grades, specs, and a price benchmark now in question</w:t>
      </w:r>
    </w:p>
    <w:p>
      <w:pPr>
        <w:spacing w:after="120" w:before="0" w:line="320"/>
        <w:jc w:val="both"/>
      </w:pPr>
      <w:r>
        <w:rPr>
          <w:rFonts w:ascii="Open Sans" w:cs="Open Sans" w:eastAsia="Open Sans" w:hAnsi="Open Sans"/>
          <w:b w:val="false"/>
          <w:bCs w:val="false"/>
          <w:i w:val="false"/>
          <w:iCs w:val="false"/>
          <w:color w:val="59595B"/>
          <w:sz w:val="22"/>
          <w:szCs w:val="22"/>
        </w:rPr>
        <w:t xml:space="preserve">Recovered fiber and metals trade against published industry specifications (the ReMA/ISRI grade definitions — OCC is grade #11, sorted office paper #37, mixed paper #54), and prices are benchmarked largely through Fastmarkets RISI. Notably, that benchmark is increasingly contested: in 2025 major paper producers publicly began moving away from the long-standing price index, arguing it no longer reflected the market — which opens room for faster, more transparent market intelligence. Meanwhile every cross-border load still carries a bill of lading, a customs declaration, a certificate of origin, and an electronic export filing. None of this is going away; the manual handling around it is where time and margin leak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Why this matters for an AI plan</w:t>
            </w:r>
          </w:p>
          <w:p>
            <w:pPr>
              <w:keepNext w:val="false"/>
              <w:keepLines/>
              <w:spacing w:after="60" w:before="40" w:line="300"/>
            </w:pPr>
            <w:r>
              <w:rPr>
                <w:rFonts w:ascii="Open Sans" w:cs="Open Sans" w:eastAsia="Open Sans" w:hAnsi="Open Sans"/>
                <w:color w:val="59595B"/>
                <w:sz w:val="20"/>
                <w:szCs w:val="20"/>
              </w:rPr>
              <w:t xml:space="preserve">Extreme, regional, policy-driven volatility rewards better price and market signals; redirected trade flows reward speed in matching grade to buyer; tighter export rules reward automated, accurate documentation; and a contested price index rewards whoever can see the market more clearly. Each industry force points at a specific AI capability later in this blueprint — and none requires Canusa Hershman to change what it sells, only how fast and how well it moves information.</w:t>
            </w:r>
          </w:p>
        </w:tc>
      </w:tr>
    </w:tbl>
    <w:p>
      <w:pPr>
        <w:pStyle w:val="Heading1"/>
        <w:keepNext/>
        <w:pageBreakBefore/>
        <w:spacing w:after="120" w:before="0" w:line="240"/>
      </w:pPr>
      <w:r>
        <w:rPr>
          <w:rFonts w:ascii="Open Sans" w:cs="Open Sans" w:eastAsia="Open Sans" w:hAnsi="Open Sans"/>
          <w:color w:val="FFFFFF"/>
          <w:sz w:val="2"/>
          <w:szCs w:val="2"/>
        </w:rPr>
        <w:t xml:space="preserve">04  Where the Growth &amp; Efficiency Live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Where the Growth &amp; Efficiency Live</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For a two-sided trader, "growth" is not a single funnel. It is four levers, and AI supports each without changing the relationship-driven nature of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680"/>
        <w:gridCol w:w="2434"/>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Lever</w:t>
            </w:r>
          </w:p>
        </w:tc>
        <w:tc>
          <w:tcPr>
            <w:tcW w:type="dxa" w:w="468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looks like for Canusa Hershman</w:t>
            </w:r>
          </w:p>
        </w:tc>
        <w:tc>
          <w:tcPr>
            <w:tcW w:type="dxa" w:w="243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Front</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Place more supply</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Win more tonnage from generators, MRFs, manufacturers and brands — including ESG-motivated sellers who want a documented, responsible outlet.</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Growth</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Secure more offtake</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Deepen domestic-mill and export-mill relationships; be the first call when a buyer needs a grade.</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Growth</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Trade the margin</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Better timing and grade-to-market matching on price; faster response when a lane opens.</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Growth</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Run leaner</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Cut the manual hours in documentation, credit checks, logistics coordination, and reporting.</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Integration</w:t>
            </w:r>
          </w:p>
        </w:tc>
      </w:tr>
    </w:tbl>
    <w:p>
      <w:pPr>
        <w:keepNext/>
        <w:spacing w:after="0" w:before="8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The first three levers are account-based: Canusa Hershman already knows who the mills and the large generators are. So the growth plan is depth and timing, not broad "lead generation." The fourth lever — efficiency — is often the easiest yes, because it saves money on work the team already does and de-risks the compliance that trade demands.</w:t>
      </w:r>
    </w:p>
    <w:p>
      <w:pPr>
        <w:pStyle w:val="Heading1"/>
        <w:keepNext/>
        <w:pageBreakBefore/>
        <w:spacing w:after="120" w:before="0" w:line="240"/>
      </w:pPr>
      <w:r>
        <w:rPr>
          <w:rFonts w:ascii="Open Sans" w:cs="Open Sans" w:eastAsia="Open Sans" w:hAnsi="Open Sans"/>
          <w:color w:val="FFFFFF"/>
          <w:sz w:val="2"/>
          <w:szCs w:val="2"/>
        </w:rPr>
        <w:t xml:space="preserve">05  The Trade Relationships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The Trade Relationships</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Canusa Hershman manages a portfolio of relationships on both sides of the trade. The matrix below maps the archetypes by trade volume and strategic value — archetypes to calibrate at discovery, not named accounts.</w:t>
      </w:r>
    </w:p>
    <w:p>
      <w:pPr>
        <w:keepNext/>
        <w:spacing w:after="60" w:before="120"/>
        <w:jc w:val="center"/>
      </w:pPr>
      <w:r>
        <w:drawing>
          <wp:inline distT="0" distB="0" distL="0" distR="0">
            <wp:extent cx="5334000" cy="3581400"/>
            <wp:effectExtent t="0" r="0" b="0" l="0"/>
            <wp:docPr id="1" name="Trade-relationship matrix" descr="Trade-relationship matrix" title="Trade-relationship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81400"/>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05.0 — Buy-side and sell-side relationship archetypes. Bubble size approximates relative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Relationship</w:t>
            </w:r>
          </w:p>
        </w:tc>
        <w:tc>
          <w:tcPr>
            <w:tcW w:type="dxa" w:w="374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they need</w:t>
            </w:r>
          </w:p>
        </w:tc>
        <w:tc>
          <w:tcPr>
            <w:tcW w:type="dxa" w:w="337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How AI helps Canusa Hershman serve them</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Export mill buyer</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Reliable grade, on-spec quality, and clean export documentation, on time.</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Automated, accurate trade docs; container/lane optimization.</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Domestic mill buyer</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Consistent supply at a fair, market-referenced price.</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Price/market signals; faster grade-to-buyer matching.</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EAAC8"/>
                <w:sz w:val="19"/>
                <w:szCs w:val="19"/>
              </w:rPr>
              <w:t xml:space="preserve">Large generator / MRF</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Prompt payment and a dependable outlet for tonnage.</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Inbound capture; credit/exposure visibility.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28A745"/>
                <w:sz w:val="19"/>
                <w:szCs w:val="19"/>
              </w:rPr>
              <w:t xml:space="preserve">Brand / ESG supplier</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documented, responsible recovery story for their reporting.</w:t>
            </w:r>
          </w:p>
        </w:tc>
        <w:tc>
          <w:tcPr>
            <w:tcW w:type="dxa" w:w="337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Sustainability / diversion reporting automation.</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1A1A2E"/>
                <w:sz w:val="19"/>
                <w:szCs w:val="19"/>
              </w:rPr>
              <w:t xml:space="preserve">Plastics / resin buyer</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Spec-matched resin and compliant cross-border movement.</w:t>
            </w:r>
          </w:p>
        </w:tc>
        <w:tc>
          <w:tcPr>
            <w:tcW w:type="dxa" w:w="337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Spec matching; Basel/EPR documentation support.</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Honest framing</w:t>
            </w:r>
          </w:p>
          <w:p>
            <w:pPr>
              <w:keepNext w:val="false"/>
              <w:keepLines/>
              <w:spacing w:after="60" w:before="40" w:line="300"/>
            </w:pPr>
            <w:r>
              <w:rPr>
                <w:rFonts w:ascii="Open Sans" w:cs="Open Sans" w:eastAsia="Open Sans" w:hAnsi="Open Sans"/>
                <w:color w:val="59595B"/>
                <w:sz w:val="20"/>
                <w:szCs w:val="20"/>
              </w:rPr>
              <w:t xml:space="preserve">These are research-based archetypes, not your CRM. Which segments matter most — by tonnage, by margin, by growth priority — is a discovery question. We would rather build the plan around your real book of business than around our assumptions about it.</w:t>
            </w:r>
          </w:p>
        </w:tc>
      </w:tr>
    </w:tbl>
    <w:p>
      <w:pPr>
        <w:pStyle w:val="Heading1"/>
        <w:keepNext/>
        <w:pageBreakBefore/>
        <w:spacing w:after="120" w:before="0" w:line="240"/>
      </w:pPr>
      <w:r>
        <w:rPr>
          <w:rFonts w:ascii="Open Sans" w:cs="Open Sans" w:eastAsia="Open Sans" w:hAnsi="Open Sans"/>
          <w:color w:val="FFFFFF"/>
          <w:sz w:val="2"/>
          <w:szCs w:val="2"/>
        </w:rPr>
        <w:t xml:space="preserve">06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Competitive Landscape</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Canusa Hershman competes with integrated paper/packaging producers that buy their own fiber, with other large independent traders and brokers, and with regional processors. The throughline below is digital and AI maturity — because that, not scale, is the open lane.</w:t>
      </w:r>
    </w:p>
    <w:p>
      <w:pPr>
        <w:keepNext/>
        <w:spacing w:after="60" w:before="120"/>
        <w:jc w:val="center"/>
      </w:pPr>
      <w:r>
        <w:drawing>
          <wp:inline distT="0" distB="0" distL="0" distR="0">
            <wp:extent cx="5334000" cy="3581400"/>
            <wp:effectExtent t="0" r="0" b="0" l="0"/>
            <wp:docPr id="1" name="Competitive positioning: scale vs digital and AI maturity" descr="Competitive positioning: scale vs digital and AI maturity" title="Competitive positioning: scale vs digital and AI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81400"/>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06.0 — A strategic assessment (not a measured score). The "scale + AI" corner is uncontested.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182"/>
        <w:gridCol w:w="3558"/>
      </w:tblGrid>
      <w:tr>
        <w:trPr>
          <w:tblHeader/>
        </w:trPr>
        <w:tc>
          <w:tcPr>
            <w:tcW w:type="dxa" w:w="262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Type of competitor</w:t>
            </w:r>
          </w:p>
        </w:tc>
        <w:tc>
          <w:tcPr>
            <w:tcW w:type="dxa" w:w="3182"/>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Examples</w:t>
            </w:r>
          </w:p>
        </w:tc>
        <w:tc>
          <w:tcPr>
            <w:tcW w:type="dxa" w:w="355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Digital / AI posture (general read)</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Integrated producers</w:t>
            </w:r>
          </w:p>
        </w:tc>
        <w:tc>
          <w:tcPr>
            <w:tcW w:type="dxa" w:w="318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Smurfit WestRock (~$21B), International Paper / DS Smith (brokers 7M+ tons fiber/yr), Pratt Recycling (3M+ tons/yr), Greif / Caraustar (sells ~50% externally)</w:t>
            </w:r>
          </w:p>
        </w:tc>
        <w:tc>
          <w:tcPr>
            <w:tcW w:type="dxa" w:w="355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Recovered fiber is a captive input, not a marketed capability. Strong operations; no public fiber-trading portal or price index.</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Independent traders / exporters</w:t>
            </w:r>
          </w:p>
        </w:tc>
        <w:tc>
          <w:tcPr>
            <w:tcW w:type="dxa" w:w="318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Cellmark (4B+, employee-owned, 2M+ tons/yr), America Chung Nam (#1 US recovered-paper exporter), Potential Industries</w:t>
            </w:r>
          </w:p>
        </w:tc>
        <w:tc>
          <w:tcPr>
            <w:tcW w:type="dxa" w:w="355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closest peers — global reach, relationship-led. Yet none runs a public price index, a trading portal, or a stated trading AI; even the #1 exporter fronts a brochure site.</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Haulers &amp; regional brokers</w:t>
            </w:r>
          </w:p>
        </w:tc>
        <w:tc>
          <w:tcPr>
            <w:tcW w:type="dxa" w:w="318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WM, Republic Services; regional MRFs / brokers; B2B scrap marketplaces</w:t>
            </w:r>
          </w:p>
        </w:tc>
        <w:tc>
          <w:tcPr>
            <w:tcW w:type="dxa" w:w="355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Strong in-plant AI sorting and billing apps, but no recovered-commodity trading portal. Marketplaces cluster in plastics/metals, mostly outside the US.</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white space</w:t>
            </w:r>
          </w:p>
          <w:p>
            <w:pPr>
              <w:keepNext/>
              <w:keepLines/>
              <w:spacing w:after="60" w:before="40" w:line="300"/>
            </w:pPr>
            <w:r>
              <w:rPr>
                <w:rFonts w:ascii="Open Sans" w:cs="Open Sans" w:eastAsia="Open Sans" w:hAnsi="Open Sans"/>
                <w:color w:val="59595B"/>
                <w:sz w:val="20"/>
                <w:szCs w:val="20"/>
              </w:rPr>
              <w:t xml:space="preserve">The value chain already has a sophisticated price-intelligence layer (Fastmarkets RISI) and a fast-arriving, well-funded AI layer at the sorting plant (AMP, Greyparrot, Glacier) — but the trading desk between them is stubbornly analog. Across roughly three dozen peers, no large recovered-fiber trader runs a public price index, a trading portal, or a stated trading AI: even Cellmark (over $4B in revenue) and America Chung Nam (the #1 US exporter) front relationship-and-phone trading with brochure websites.</w:t>
            </w:r>
          </w:p>
          <w:p>
            <w:pPr>
              <w:keepNext w:val="false"/>
              <w:keepLines/>
              <w:spacing w:after="60" w:before="40" w:line="300"/>
            </w:pPr>
            <w:r>
              <w:rPr>
                <w:rFonts w:ascii="Open Sans" w:cs="Open Sans" w:eastAsia="Open Sans" w:hAnsi="Open Sans"/>
                <w:color w:val="59595B"/>
                <w:sz w:val="20"/>
                <w:szCs w:val="20"/>
              </w:rPr>
              <w:t xml:space="preserve">Canusa Hershman has the scale and the system of record (cieTrade) to own the open corner first — which compounds into both reputation (supply and offtake find you) and efficiency (the back office runs leaner than rivals’). The data already exists; the edge goes to whoever puts it on the trader’s desk.</w:t>
            </w:r>
          </w:p>
        </w:tc>
      </w:tr>
    </w:tbl>
    <w:p>
      <w:pPr>
        <w:pStyle w:val="Heading1"/>
        <w:keepNext/>
        <w:pageBreakBefore/>
        <w:spacing w:after="120" w:before="0" w:line="240"/>
      </w:pPr>
      <w:r>
        <w:rPr>
          <w:rFonts w:ascii="Open Sans" w:cs="Open Sans" w:eastAsia="Open Sans" w:hAnsi="Open Sans"/>
          <w:color w:val="FFFFFF"/>
          <w:sz w:val="2"/>
          <w:szCs w:val="2"/>
        </w:rPr>
        <w:t xml:space="preserve">07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Brand &amp; Digital Presence Audit</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factual read of Canusa Hershman’s public digital footprint as observed in June 2026. The point is not criticism — it is that the gap between the quality of the business and the quality of its digital presence is itself 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680"/>
        <w:gridCol w:w="2434"/>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Asset</w:t>
            </w:r>
          </w:p>
        </w:tc>
        <w:tc>
          <w:tcPr>
            <w:tcW w:type="dxa" w:w="468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we observed</w:t>
            </w:r>
          </w:p>
        </w:tc>
        <w:tc>
          <w:tcPr>
            <w:tcW w:type="dxa" w:w="2434"/>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Opportunity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Website</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WordPress; clear "what we do," history, and sustainability pages; tagline "Your Trusted Partner in Global Trade."</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Solid base to build authority on.</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Trading portals</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Supplier/customer portals run on cieTrade (CHRC and CHMD). A real system of record.</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The anchor for every integration play.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Content / market voice</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No active blog, news, or published market/price commentary; no public grade-spec resources.</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Own the market conversation; feed AEO.</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CC0000"/>
                <w:sz w:val="19"/>
                <w:szCs w:val="19"/>
              </w:rPr>
              <w:t xml:space="preserve">LinkedIn</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Company industry is mislabeled as "Renewable Energy Semiconductor Manufacturing"; activity is sparse (~1,471 followers).</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one-day fix; then a real presence.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Search / AEO</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No evident optimization for the terms generators and mills use, or for AI-assistant citation.</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 found and cited where buyers look.</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most quotable finding</w:t>
            </w:r>
          </w:p>
          <w:p>
            <w:pPr>
              <w:keepNext w:val="false"/>
              <w:keepLines/>
              <w:spacing w:after="60" w:before="40" w:line="300"/>
            </w:pPr>
            <w:r>
              <w:rPr>
                <w:rFonts w:ascii="Open Sans" w:cs="Open Sans" w:eastAsia="Open Sans" w:hAnsi="Open Sans"/>
                <w:color w:val="59595B"/>
                <w:sz w:val="20"/>
                <w:szCs w:val="20"/>
              </w:rPr>
              <w:t xml:space="preserve">A company that moves more than a million tons a year is currently classified on LinkedIn as a semiconductor manufacturer, and publishes no market commentary in a market that runs on information. That gap is not a weakness to hide — it is the single clearest place to start, and it costs almost nothing to begin.</w:t>
            </w:r>
          </w:p>
        </w:tc>
      </w:tr>
    </w:tbl>
    <w:p>
      <w:pPr>
        <w:pStyle w:val="Heading1"/>
        <w:keepNext/>
        <w:pageBreakBefore/>
        <w:spacing w:after="120" w:before="0" w:line="240"/>
      </w:pPr>
      <w:r>
        <w:rPr>
          <w:rFonts w:ascii="Open Sans" w:cs="Open Sans" w:eastAsia="Open Sans" w:hAnsi="Open Sans"/>
          <w:color w:val="FFFFFF"/>
          <w:sz w:val="2"/>
          <w:szCs w:val="2"/>
        </w:rPr>
        <w:t xml:space="preserve">08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Technijian Capability Proof</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Before the pitch, the proof. The builds below are real Technijian capabilities; each is mapped to a specific Canusa Hershman use case. Where a build is described by an industry profile rather than a named client, it is scope and effort only — no invented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Proven build: AI Document Intelligence</w:t>
            </w:r>
          </w:p>
          <w:p>
            <w:pPr>
              <w:keepNext w:val="false"/>
              <w:keepLines/>
              <w:spacing w:after="60" w:before="40" w:line="300"/>
            </w:pPr>
            <w:r>
              <w:rPr>
                <w:rFonts w:ascii="Open Sans" w:cs="Open Sans" w:eastAsia="Open Sans" w:hAnsi="Open Sans"/>
                <w:color w:val="59595B"/>
                <w:sz w:val="20"/>
                <w:szCs w:val="20"/>
              </w:rPr>
              <w:t xml:space="preserve">What we built: an AI pipeline that turns dense, repetitive documents into structured data and drafted output — deployed for a FINRA broker-dealer’s compliance workflows. How it applies: bills of lading, customs declarations, and certificates of origin parsed and reconciled into cieTrade — the highest-volume, most error-prone paperwork in export trade.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Proven build: Multi-Agent SEO + AEO Platform</w:t>
            </w:r>
          </w:p>
          <w:p>
            <w:pPr>
              <w:keepNext w:val="false"/>
              <w:keepLines/>
              <w:spacing w:after="60" w:before="40" w:line="300"/>
            </w:pPr>
            <w:r>
              <w:rPr>
                <w:rFonts w:ascii="Open Sans" w:cs="Open Sans" w:eastAsia="Open Sans" w:hAnsi="Open Sans"/>
                <w:color w:val="59595B"/>
                <w:sz w:val="20"/>
                <w:szCs w:val="20"/>
              </w:rPr>
              <w:t xml:space="preserve">What we built: a multi-model platform (Claude, GPT, Gemini + MCP, SEMrush, GA4, Perplexity) that produces and optimizes authority content and tracks AI-assistant citations. How it applies: make Canusa Hershman the cited name for recovered-material sourcing and grade questions — and fix the brand-hygiene gaps.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Proven build: LLM Council (multi-model peer review)</w:t>
            </w:r>
          </w:p>
          <w:p>
            <w:pPr>
              <w:keepNext w:val="false"/>
              <w:keepLines/>
              <w:spacing w:after="60" w:before="40" w:line="300"/>
            </w:pPr>
            <w:r>
              <w:rPr>
                <w:rFonts w:ascii="Open Sans" w:cs="Open Sans" w:eastAsia="Open Sans" w:hAnsi="Open Sans"/>
                <w:color w:val="59595B"/>
                <w:sz w:val="20"/>
                <w:szCs w:val="20"/>
              </w:rPr>
              <w:t xml:space="preserve">What we built: a pattern in which several models independently review the same output and reconcile it (our ScamShield system). How it applies: credit-risk and counterparty checks, and price/market-signal summaries, where a single model’s confident error is unacceptable.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Proven build: Knowledge Graph + Custom Development</w:t>
            </w:r>
          </w:p>
          <w:p>
            <w:pPr>
              <w:keepNext w:val="false"/>
              <w:keepLines/>
              <w:spacing w:after="60" w:before="40" w:line="300"/>
            </w:pPr>
            <w:r>
              <w:rPr>
                <w:rFonts w:ascii="Open Sans" w:cs="Open Sans" w:eastAsia="Open Sans" w:hAnsi="Open Sans"/>
                <w:color w:val="59595B"/>
                <w:sz w:val="20"/>
                <w:szCs w:val="20"/>
              </w:rPr>
              <w:t xml:space="preserve">What we built: Weaviate/Obsidian knowledge systems and an AI-native software delivery practice (3–5x faster builds). How it applies: a supplier/customer portal and chatbot on top of cieTrade, and an institutional-knowledge layer so a 145-year trading history is searchable, not stuck in inboxes.</w:t>
            </w:r>
          </w:p>
        </w:tc>
      </w:tr>
    </w:tbl>
    <w:p>
      <w:pPr>
        <w:pStyle w:val="Heading2"/>
        <w:keepNext/>
        <w:keepLines/>
        <w:spacing w:after="130" w:before="300"/>
      </w:pPr>
      <w:r>
        <w:rPr>
          <w:rFonts w:ascii="Open Sans" w:cs="Open Sans" w:eastAsia="Open Sans" w:hAnsi="Open Sans"/>
          <w:b/>
          <w:bCs/>
          <w:color w:val="006DB6"/>
          <w:sz w:val="27"/>
          <w:szCs w:val="27"/>
        </w:rPr>
        <w:t xml:space="preserve">"Won’t AI cost a fortune?" — the multi-model discipline</w:t>
      </w:r>
    </w:p>
    <w:p>
      <w:pPr>
        <w:spacing w:after="120" w:before="0" w:line="320"/>
        <w:jc w:val="both"/>
      </w:pPr>
      <w:r>
        <w:rPr>
          <w:rFonts w:ascii="Open Sans" w:cs="Open Sans" w:eastAsia="Open Sans" w:hAnsi="Open Sans"/>
          <w:b w:val="false"/>
          <w:bCs w:val="false"/>
          <w:i w:val="false"/>
          <w:iCs w:val="false"/>
          <w:color w:val="59595B"/>
          <w:sz w:val="22"/>
          <w:szCs w:val="22"/>
        </w:rPr>
        <w:t xml:space="preserve">A fair question for a margin-thin business. Technijian does not wire every task to one expensive model. We run a routed, multi-model platform — roughly seven models across three vendors and three capability tiers — and send each sub-task to the cheapest model that can do it well: lightweight models for high-volume extraction (parsing thousands of documents), mid-tier models for reasoning and drafting, and frontier models only for the small slice that needs deep judgment. Where quality is non-negotiable, several models peer-review the same output. In practice this runs roughly 60–80% below the cost of routing everything to one premium model — and private, governed deployments keep counterparty and pricing data out of public tools.</w:t>
      </w:r>
    </w:p>
    <w:p>
      <w:pPr>
        <w:pStyle w:val="Heading1"/>
        <w:keepNext/>
        <w:pageBreakBefore/>
        <w:spacing w:after="120" w:before="0" w:line="240"/>
      </w:pPr>
      <w:r>
        <w:rPr>
          <w:rFonts w:ascii="Open Sans" w:cs="Open Sans" w:eastAsia="Open Sans" w:hAnsi="Open Sans"/>
          <w:color w:val="FFFFFF"/>
          <w:sz w:val="2"/>
          <w:szCs w:val="2"/>
        </w:rPr>
        <w:t xml:space="preserve">09  Understanding AI — A Field Guide for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Understanding AI — A Field Guide for Leadership</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short, vendor-neutral primer so the conversation rests on shared ground. Each point is anchored to an independent framework, not a sales claim.</w:t>
      </w:r>
    </w:p>
    <w:p>
      <w:pPr>
        <w:pStyle w:val="Heading3"/>
        <w:keepNext/>
        <w:spacing w:after="90" w:before="220"/>
      </w:pPr>
      <w:r>
        <w:rPr>
          <w:rFonts w:ascii="Open Sans" w:cs="Open Sans" w:eastAsia="Open Sans" w:hAnsi="Open Sans"/>
          <w:b/>
          <w:bCs/>
          <w:color w:val="1A1A2E"/>
          <w:sz w:val="24"/>
          <w:szCs w:val="24"/>
        </w:rPr>
        <w:t xml:space="preserve">What AI is — and the distinction that matters</w:t>
      </w:r>
    </w:p>
    <w:p>
      <w:pPr>
        <w:spacing w:after="120" w:before="0" w:line="320"/>
        <w:jc w:val="both"/>
      </w:pPr>
      <w:r>
        <w:rPr>
          <w:rFonts w:ascii="Open Sans" w:cs="Open Sans" w:eastAsia="Open Sans" w:hAnsi="Open Sans"/>
          <w:b w:val="false"/>
          <w:bCs w:val="false"/>
          <w:i w:val="false"/>
          <w:iCs w:val="false"/>
          <w:color w:val="59595B"/>
          <w:sz w:val="22"/>
          <w:szCs w:val="22"/>
        </w:rPr>
        <w:t xml:space="preserve">You need to know what AI can and cannot do, not how to build it (MIT Sloan). The most useful distinction, from Anthropic’s engineering guidance: </w:t>
      </w:r>
      <w:r>
        <w:rPr>
          <w:rFonts w:ascii="Open Sans" w:cs="Open Sans" w:eastAsia="Open Sans" w:hAnsi="Open Sans"/>
          <w:b/>
          <w:bCs/>
          <w:i w:val="false"/>
          <w:iCs w:val="false"/>
          <w:color w:val="1A1A2E"/>
          <w:sz w:val="22"/>
          <w:szCs w:val="22"/>
        </w:rPr>
        <w:t xml:space="preserve">workflows</w:t>
      </w:r>
      <w:r>
        <w:rPr>
          <w:rFonts w:ascii="Open Sans" w:cs="Open Sans" w:eastAsia="Open Sans" w:hAnsi="Open Sans"/>
          <w:b w:val="false"/>
          <w:bCs w:val="false"/>
          <w:i w:val="false"/>
          <w:iCs w:val="false"/>
          <w:color w:val="59595B"/>
          <w:sz w:val="22"/>
          <w:szCs w:val="22"/>
        </w:rPr>
        <w:t xml:space="preserve"> (AI follows a fixed path — predictable, low-risk, e.g. "extract these fields from this bill of lading") versus </w:t>
      </w:r>
      <w:r>
        <w:rPr>
          <w:rFonts w:ascii="Open Sans" w:cs="Open Sans" w:eastAsia="Open Sans" w:hAnsi="Open Sans"/>
          <w:b/>
          <w:bCs/>
          <w:i w:val="false"/>
          <w:iCs w:val="false"/>
          <w:color w:val="1A1A2E"/>
          <w:sz w:val="22"/>
          <w:szCs w:val="22"/>
        </w:rPr>
        <w:t xml:space="preserve">agents</w:t>
      </w:r>
      <w:r>
        <w:rPr>
          <w:rFonts w:ascii="Open Sans" w:cs="Open Sans" w:eastAsia="Open Sans" w:hAnsi="Open Sans"/>
          <w:b w:val="false"/>
          <w:bCs w:val="false"/>
          <w:i w:val="false"/>
          <w:iCs w:val="false"/>
          <w:color w:val="59595B"/>
          <w:sz w:val="22"/>
          <w:szCs w:val="22"/>
        </w:rPr>
        <w:t xml:space="preserve"> (AI decides the steps — flexible, needs oversight). The principle is to use the simplest thing that works: start with document and content automations that pay off fast, add autonomy only where it earns its keep.</w:t>
      </w:r>
    </w:p>
    <w:p>
      <w:pPr>
        <w:pStyle w:val="Heading3"/>
        <w:keepNext/>
        <w:spacing w:after="90" w:before="220"/>
      </w:pPr>
      <w:r>
        <w:rPr>
          <w:rFonts w:ascii="Open Sans" w:cs="Open Sans" w:eastAsia="Open Sans" w:hAnsi="Open Sans"/>
          <w:b/>
          <w:bCs/>
          <w:color w:val="1A1A2E"/>
          <w:sz w:val="24"/>
          <w:szCs w:val="24"/>
        </w:rPr>
        <w:t xml:space="preserve">The three risks every leader must manage (NIST AI Risk Management Framework)</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Hallucination </w:t>
      </w:r>
      <w:r>
        <w:rPr>
          <w:rFonts w:ascii="Open Sans" w:cs="Open Sans" w:eastAsia="Open Sans" w:hAnsi="Open Sans"/>
          <w:b w:val="false"/>
          <w:bCs w:val="false"/>
          <w:i w:val="false"/>
          <w:iCs w:val="false"/>
          <w:color w:val="59595B"/>
          <w:sz w:val="22"/>
          <w:szCs w:val="22"/>
        </w:rPr>
        <w:t xml:space="preserve">— AI can state a confident wrong answer; a human signs off on anything that moves money or material. Price "predictions" are decision-support, never a guarantee.</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Data leakage </w:t>
      </w:r>
      <w:r>
        <w:rPr>
          <w:rFonts w:ascii="Open Sans" w:cs="Open Sans" w:eastAsia="Open Sans" w:hAnsi="Open Sans"/>
          <w:b w:val="false"/>
          <w:bCs w:val="false"/>
          <w:i w:val="false"/>
          <w:iCs w:val="false"/>
          <w:color w:val="59595B"/>
          <w:sz w:val="22"/>
          <w:szCs w:val="22"/>
        </w:rPr>
        <w:t xml:space="preserve">— counterparty, pricing, and contract data never go into public AI tools; we use private, governed deployments.</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Accountability </w:t>
      </w:r>
      <w:r>
        <w:rPr>
          <w:rFonts w:ascii="Open Sans" w:cs="Open Sans" w:eastAsia="Open Sans" w:hAnsi="Open Sans"/>
          <w:b w:val="false"/>
          <w:bCs w:val="false"/>
          <w:i w:val="false"/>
          <w:iCs w:val="false"/>
          <w:color w:val="59595B"/>
          <w:sz w:val="22"/>
          <w:szCs w:val="22"/>
        </w:rPr>
        <w:t xml:space="preserve">— every AI tool is inventoried with an owner, vendor, and data source, straight from the NIST "Govern" function.</w:t>
      </w:r>
    </w:p>
    <w:p>
      <w:pPr>
        <w:pStyle w:val="Heading3"/>
        <w:keepNext/>
        <w:spacing w:after="90" w:before="220"/>
      </w:pPr>
      <w:r>
        <w:rPr>
          <w:rFonts w:ascii="Open Sans" w:cs="Open Sans" w:eastAsia="Open Sans" w:hAnsi="Open Sans"/>
          <w:b/>
          <w:bCs/>
          <w:color w:val="1A1A2E"/>
          <w:sz w:val="24"/>
          <w:szCs w:val="24"/>
        </w:rPr>
        <w:t xml:space="preserve">Why a partner, versus DIY or a new hire</w:t>
      </w:r>
    </w:p>
    <w:p>
      <w:pPr>
        <w:spacing w:after="120" w:before="0" w:line="320"/>
        <w:jc w:val="both"/>
      </w:pPr>
      <w:r>
        <w:rPr>
          <w:rFonts w:ascii="Open Sans" w:cs="Open Sans" w:eastAsia="Open Sans" w:hAnsi="Open Sans"/>
          <w:b w:val="false"/>
          <w:bCs w:val="false"/>
          <w:i w:val="false"/>
          <w:iCs w:val="false"/>
          <w:color w:val="59595B"/>
          <w:sz w:val="22"/>
          <w:szCs w:val="22"/>
        </w:rPr>
        <w:t xml:space="preserve">Do-it-yourself tools are cheap but leave you to assemble and govern the system. A capable full-time AI hire costs well over $180,000 a year, is scarce, and cannot cover strategy, build, security, and governance alone. A partner provides all four at a fraction of the cost, with proven builds — and, as the introduction letter put it, we architect, build, and operationalize through to production rather than handing over a slide deck.</w:t>
      </w:r>
    </w:p>
    <w:p>
      <w:pPr>
        <w:pStyle w:val="Heading1"/>
        <w:keepNext/>
        <w:pageBreakBefore/>
        <w:spacing w:after="120" w:before="0" w:line="240"/>
      </w:pPr>
      <w:r>
        <w:rPr>
          <w:rFonts w:ascii="Open Sans" w:cs="Open Sans" w:eastAsia="Open Sans" w:hAnsi="Open Sans"/>
          <w:color w:val="FFFFFF"/>
          <w:sz w:val="2"/>
          <w:szCs w:val="2"/>
        </w:rPr>
        <w:t xml:space="preserve">10  The AI Growth &amp; Integration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The AI Growth &amp; Integration Engine</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The engine has three columns: get found and trusted, arm the traders with intelligence, and integrate the back office around cieTrade. Each names the specific Technijian service that delivers it.</w:t>
      </w:r>
    </w:p>
    <w:p>
      <w:pPr>
        <w:keepNext/>
        <w:spacing w:after="60" w:before="120"/>
        <w:jc w:val="center"/>
      </w:pPr>
      <w:r>
        <w:drawing>
          <wp:inline distT="0" distB="0" distL="0" distR="0">
            <wp:extent cx="5943600" cy="3724275"/>
            <wp:effectExtent t="0" r="0" b="0" l="0"/>
            <wp:docPr id="1" name="Canusa Hershman AI growth and integration engine" descr="Canusa Hershman AI growth and integration engine" title="Canusa Hershman AI growth and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242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10.0 — Get found (left); trade &amp; account intelligence (center); operations &amp; integration on cieTrade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305"/>
        <w:gridCol w:w="2435"/>
      </w:tblGrid>
      <w:tr>
        <w:trPr>
          <w:tblHeader/>
        </w:trPr>
        <w:tc>
          <w:tcPr>
            <w:tcW w:type="dxa" w:w="262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AI capability</w:t>
            </w:r>
          </w:p>
        </w:tc>
        <w:tc>
          <w:tcPr>
            <w:tcW w:type="dxa" w:w="430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Use case for Canusa Hershman</w:t>
            </w:r>
          </w:p>
        </w:tc>
        <w:tc>
          <w:tcPr>
            <w:tcW w:type="dxa" w:w="243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Technijian service</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Authority &amp; AEO content</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Publish market commentary and grade guides; be the cited source in AI assistants and search.</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Brand hygiene + per-location</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Fix the LinkedIn mislabel; profiles for Branford and the Recycle 1 plants.</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SEO</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Commodity price &amp; market signals</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Decision-support on price trends and where a grade clears best — probabilistic, human-confirmed.</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Account &amp; credit intelligence</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Vendor/customer risk scoring; pre-call dossiers for traders and account executives.</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 / Lead Gen</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Trade-document automation</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Bills of lading, customs declarations, certificates of origin — parsed into cieTrade.</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Portal + chatbot on cieTrade</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Self-serve order, document, and balance lookups for suppliers and customers, 24/7.</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Dev</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Logistics &amp; container optimization</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Match loads to lanes and forwarders; cut demurrage and empty miles on export.</w:t>
            </w:r>
          </w:p>
        </w:tc>
        <w:tc>
          <w:tcPr>
            <w:tcW w:type="dxa" w:w="243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Dev</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ESG / sustainability reporting</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Automate diversion and recovery reporting for customers and the sustainability page.</w:t>
            </w:r>
          </w:p>
        </w:tc>
        <w:tc>
          <w:tcPr>
            <w:tcW w:type="dxa" w:w="243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w:t>
            </w:r>
          </w:p>
        </w:tc>
      </w:tr>
    </w:tbl>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non-negotiable</w:t>
            </w:r>
          </w:p>
          <w:p>
            <w:pPr>
              <w:keepNext w:val="false"/>
              <w:keepLines/>
              <w:spacing w:after="60" w:before="40" w:line="300"/>
            </w:pPr>
            <w:r>
              <w:rPr>
                <w:rFonts w:ascii="Open Sans" w:cs="Open Sans" w:eastAsia="Open Sans" w:hAnsi="Open Sans"/>
                <w:color w:val="59595B"/>
                <w:sz w:val="20"/>
                <w:szCs w:val="20"/>
              </w:rPr>
              <w:t xml:space="preserve">AI augments the trader and the cieTrade system of record; it does not replace the relationship that closes a contract or the human who signs off on a trade. Every "prediction" is decision-support a person confirms. That is how this stays trustworthy in a business built on trust.</w:t>
            </w:r>
          </w:p>
        </w:tc>
      </w:tr>
    </w:tbl>
    <w:p>
      <w:pPr>
        <w:pStyle w:val="Heading1"/>
        <w:keepNext/>
        <w:pageBreakBefore/>
        <w:spacing w:after="120" w:before="0" w:line="240"/>
      </w:pPr>
      <w:r>
        <w:rPr>
          <w:rFonts w:ascii="Open Sans" w:cs="Open Sans" w:eastAsia="Open Sans" w:hAnsi="Open Sans"/>
          <w:color w:val="FFFFFF"/>
          <w:sz w:val="2"/>
          <w:szCs w:val="2"/>
        </w:rPr>
        <w:t xml:space="preserve">11  Business Impact &amp;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Business Impact &amp; Investment</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We price from real, published service ranges and we model returns only after discovery. No figure below is a quote, and none is presented as Canusa Hershman’s guaranteed result.</w:t>
      </w:r>
    </w:p>
    <w:p>
      <w:pPr>
        <w:pStyle w:val="Heading2"/>
        <w:keepNext/>
        <w:keepLines/>
        <w:spacing w:after="130" w:before="300"/>
      </w:pPr>
      <w:r>
        <w:rPr>
          <w:rFonts w:ascii="Open Sans" w:cs="Open Sans" w:eastAsia="Open Sans" w:hAnsi="Open Sans"/>
          <w:b/>
          <w:bCs/>
          <w:color w:val="006DB6"/>
          <w:sz w:val="27"/>
          <w:szCs w:val="27"/>
        </w:rPr>
        <w:t xml:space="preserve">A land-and-expand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680"/>
        <w:gridCol w:w="2621"/>
      </w:tblGrid>
      <w:tr>
        <w:trPr>
          <w:tblHeader/>
        </w:trPr>
        <w:tc>
          <w:tcPr>
            <w:tcW w:type="dxa" w:w="205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Phase</w:t>
            </w:r>
          </w:p>
        </w:tc>
        <w:tc>
          <w:tcPr>
            <w:tcW w:type="dxa" w:w="468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includes</w:t>
            </w:r>
          </w:p>
        </w:tc>
        <w:tc>
          <w:tcPr>
            <w:tcW w:type="dxa" w:w="2621"/>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Engagement type</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Land — prove it</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AI Readiness Assessment (map workflows + cieTrade), brand-hygiene + authority/AEO content, and ONE high-ROI automation (e.g., trade-doc parsing).</w:t>
            </w:r>
          </w:p>
        </w:tc>
        <w:tc>
          <w:tcPr>
            <w:tcW w:type="dxa" w:w="262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Fixed-scope projects + My SEO</w:t>
            </w:r>
          </w:p>
        </w:tc>
      </w:tr>
      <w:tr>
        <w:trPr>
          <w:cantSplit/>
        </w:trPr>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Expand — integrate</w:t>
            </w:r>
          </w:p>
        </w:tc>
        <w:tc>
          <w:tcPr>
            <w:tcW w:type="dxa" w:w="468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Price/market-signal and account/credit intelligence; supplier/customer portal + chatbot on cieTrade; logistics optimization.</w:t>
            </w:r>
          </w:p>
        </w:tc>
        <w:tc>
          <w:tcPr>
            <w:tcW w:type="dxa" w:w="262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AI + My Dev build</w:t>
            </w:r>
          </w:p>
        </w:tc>
      </w:tr>
      <w:tr>
        <w:trPr>
          <w:cantSplit/>
        </w:trPr>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Scale — operate</w:t>
            </w:r>
          </w:p>
        </w:tc>
        <w:tc>
          <w:tcPr>
            <w:tcW w:type="dxa" w:w="468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Fractional AI Advisor: ongoing guidance, new automations across divisions, and a measured ROI dashboard.</w:t>
            </w:r>
          </w:p>
        </w:tc>
        <w:tc>
          <w:tcPr>
            <w:tcW w:type="dxa" w:w="262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Fractional AI Advisor (retainer)</w:t>
            </w:r>
          </w:p>
        </w:tc>
      </w:tr>
    </w:tbl>
    <w:p>
      <w:pPr>
        <w:pStyle w:val="Heading2"/>
        <w:keepNext/>
        <w:keepLines/>
        <w:spacing w:after="130" w:before="300"/>
      </w:pPr>
      <w:r>
        <w:rPr>
          <w:rFonts w:ascii="Open Sans" w:cs="Open Sans" w:eastAsia="Open Sans" w:hAnsi="Open Sans"/>
          <w:b/>
          <w:bCs/>
          <w:color w:val="006DB6"/>
          <w:sz w:val="27"/>
          <w:szCs w:val="27"/>
        </w:rPr>
        <w:t xml:space="preserve">Market-typical investment ranges (context, not a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182"/>
        <w:gridCol w:w="2434"/>
      </w:tblGrid>
      <w:tr>
        <w:trPr>
          <w:tblHeader/>
        </w:trPr>
        <w:tc>
          <w:tcPr>
            <w:tcW w:type="dxa" w:w="3744"/>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Component</w:t>
            </w:r>
          </w:p>
        </w:tc>
        <w:tc>
          <w:tcPr>
            <w:tcW w:type="dxa" w:w="3182"/>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Market-typical range</w:t>
            </w:r>
          </w:p>
        </w:tc>
        <w:tc>
          <w:tcPr>
            <w:tcW w:type="dxa" w:w="2434"/>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Note</w:t>
            </w:r>
          </w:p>
        </w:tc>
      </w:tr>
      <w:tr>
        <w:trPr>
          <w:cantSplit/>
        </w:trPr>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AI readiness / discovery engagement</w:t>
            </w:r>
          </w:p>
        </w:tc>
        <w:tc>
          <w:tcPr>
            <w:tcW w:type="dxa" w:w="318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low five figures, fixed scope</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one-time</w:t>
            </w:r>
          </w:p>
        </w:tc>
      </w:tr>
      <w:tr>
        <w:trPr>
          <w:cantSplit/>
        </w:trPr>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SEO — authority + AEO + brand hygiene</w:t>
            </w:r>
          </w:p>
        </w:tc>
        <w:tc>
          <w:tcPr>
            <w:tcW w:type="dxa" w:w="318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~$2,500–$3,000 / mo</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w:t>
            </w:r>
          </w:p>
        </w:tc>
      </w:tr>
      <w:tr>
        <w:trPr>
          <w:cantSplit/>
        </w:trPr>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AI — automation + intelligence</w:t>
            </w:r>
          </w:p>
        </w:tc>
        <w:tc>
          <w:tcPr>
            <w:tcW w:type="dxa" w:w="318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scoped to workflow count</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 + build</w:t>
            </w:r>
          </w:p>
        </w:tc>
      </w:tr>
      <w:tr>
        <w:trPr>
          <w:cantSplit/>
        </w:trPr>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My Dev — portal / chatbot / integration build</w:t>
            </w:r>
          </w:p>
        </w:tc>
        <w:tc>
          <w:tcPr>
            <w:tcW w:type="dxa" w:w="318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project-based</w:t>
            </w:r>
          </w:p>
        </w:tc>
        <w:tc>
          <w:tcPr>
            <w:tcW w:type="dxa" w:w="243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one-time build</w:t>
            </w:r>
          </w:p>
        </w:tc>
      </w:tr>
      <w:tr>
        <w:trPr>
          <w:cantSplit/>
        </w:trPr>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Fractional AI Advisor</w:t>
            </w:r>
          </w:p>
        </w:tc>
        <w:tc>
          <w:tcPr>
            <w:tcW w:type="dxa" w:w="318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~$2,000+ / mo retainer</w:t>
            </w:r>
          </w:p>
        </w:tc>
        <w:tc>
          <w:tcPr>
            <w:tcW w:type="dxa" w:w="243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w:t>
            </w:r>
          </w:p>
        </w:tc>
      </w:tr>
    </w:tbl>
    <w:p>
      <w:pPr>
        <w:keepNext/>
        <w:spacing w:after="0" w:before="8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How we will model the return. </w:t>
      </w:r>
      <w:r>
        <w:rPr>
          <w:rFonts w:ascii="Open Sans" w:cs="Open Sans" w:eastAsia="Open Sans" w:hAnsi="Open Sans"/>
          <w:b w:val="false"/>
          <w:bCs w:val="false"/>
          <w:i w:val="false"/>
          <w:iCs w:val="false"/>
          <w:color w:val="59595B"/>
          <w:sz w:val="22"/>
          <w:szCs w:val="22"/>
        </w:rPr>
        <w:t xml:space="preserve">For a margin-thin trader, ROI is modeled on trade margin and hours recovered — not on revenue. The levers are concrete: hours saved per shipment on documentation, faster grade-to-buyer matching, reduced credit losses, and reduced demurrage. We will put conservative, mid, and upside numbers against those levers once discovery gives us your real volumes (Section 14). Until then, any single ROI figure would be a guess, and we don’t guess.</w:t>
      </w:r>
    </w:p>
    <w:p>
      <w:pPr>
        <w:pStyle w:val="Heading1"/>
        <w:keepNext/>
        <w:pageBreakBefore/>
        <w:spacing w:after="120" w:before="0" w:line="240"/>
      </w:pPr>
      <w:r>
        <w:rPr>
          <w:rFonts w:ascii="Open Sans" w:cs="Open Sans" w:eastAsia="Open Sans" w:hAnsi="Open Sans"/>
          <w:color w:val="FFFFFF"/>
          <w:sz w:val="2"/>
          <w:szCs w:val="2"/>
        </w:rPr>
        <w:t xml:space="preserve">12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Implementation Roadmap</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Staged so each phase pays for itself before the next begins — and sequenced to start with the lowest-risk, fastest wins.</w:t>
      </w:r>
    </w:p>
    <w:p>
      <w:pPr>
        <w:keepNext/>
        <w:spacing w:after="60" w:before="120"/>
        <w:jc w:val="center"/>
      </w:pPr>
      <w:r>
        <w:drawing>
          <wp:inline distT="0" distB="0" distL="0" distR="0">
            <wp:extent cx="5943600" cy="2619375"/>
            <wp:effectExtent t="0" r="0" b="0" l="0"/>
            <wp:docPr id="1" name="90/180/365-day roadmap" descr="90/180/365-day roadmap" title="90/180/365-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619375"/>
                    </a:xfrm>
                    <a:prstGeom prst="rect">
                      <a:avLst/>
                    </a:prstGeom>
                  </pic:spPr>
                </pic:pic>
              </a:graphicData>
            </a:graphic>
          </wp:inline>
        </w:drawing>
      </w:r>
    </w:p>
    <w:p>
      <w:pPr>
        <w:spacing w:after="220" w:before="0"/>
        <w:jc w:val="center"/>
      </w:pPr>
      <w:r>
        <w:rPr>
          <w:rFonts w:ascii="Open Sans" w:cs="Open Sans" w:eastAsia="Open Sans" w:hAnsi="Open Sans"/>
          <w:i/>
          <w:iCs/>
          <w:color w:val="59595B"/>
          <w:sz w:val="18"/>
          <w:szCs w:val="18"/>
        </w:rPr>
        <w:t xml:space="preserve">Figure 12.0 — Foundation, then trade intelligence, then integrate &amp; scale. Targets calibrate at discovery.</w:t>
      </w:r>
    </w:p>
    <w:p>
      <w:pPr>
        <w:spacing w:after="120" w:before="0" w:line="320"/>
        <w:jc w:val="both"/>
      </w:pPr>
      <w:r>
        <w:rPr>
          <w:rFonts w:ascii="Open Sans" w:cs="Open Sans" w:eastAsia="Open Sans" w:hAnsi="Open Sans"/>
          <w:b w:val="false"/>
          <w:bCs w:val="false"/>
          <w:i w:val="false"/>
          <w:iCs w:val="false"/>
          <w:color w:val="59595B"/>
          <w:sz w:val="22"/>
          <w:szCs w:val="22"/>
        </w:rPr>
        <w:t xml:space="preserve">Phase one fixes the brand-hygiene basics, stands up authority content, and runs the AI readiness assessment against cieTrade. Phase two delivers price/market-signal decision-support and the first trade-document automation. Phase three integrates the portal, logistics, credit, and ESG reporting, and stands up a measured ROI dashboard so every claim in this plan is tracked against reality.</w:t>
      </w:r>
    </w:p>
    <w:p>
      <w:pPr>
        <w:pStyle w:val="Heading1"/>
        <w:keepNext/>
        <w:pageBreakBefore/>
        <w:spacing w:after="120" w:before="0" w:line="240"/>
      </w:pPr>
      <w:r>
        <w:rPr>
          <w:rFonts w:ascii="Open Sans" w:cs="Open Sans" w:eastAsia="Open Sans" w:hAnsi="Open Sans"/>
          <w:color w:val="FFFFFF"/>
          <w:sz w:val="2"/>
          <w:szCs w:val="2"/>
        </w:rPr>
        <w:t xml:space="preserve">13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13  Quick Wins — Start This Week</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Five actions Canusa Hershman can take now, with no Technijian contract, that create value and set up the engagement:</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Fix the LinkedIn industry label. </w:t>
      </w:r>
      <w:r>
        <w:rPr>
          <w:rFonts w:ascii="Open Sans" w:cs="Open Sans" w:eastAsia="Open Sans" w:hAnsi="Open Sans"/>
          <w:b w:val="false"/>
          <w:bCs w:val="false"/>
          <w:i w:val="false"/>
          <w:iCs w:val="false"/>
          <w:color w:val="59595B"/>
          <w:sz w:val="22"/>
          <w:szCs w:val="22"/>
        </w:rPr>
        <w:t xml:space="preserve">Change "Renewable Energy Semiconductor Manufacturing" to the correct recovered-materials / wholesale-trade category. A five-minute fix that stops misrepresenting the business.</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Publish one market note. </w:t>
      </w:r>
      <w:r>
        <w:rPr>
          <w:rFonts w:ascii="Open Sans" w:cs="Open Sans" w:eastAsia="Open Sans" w:hAnsi="Open Sans"/>
          <w:b w:val="false"/>
          <w:bCs w:val="false"/>
          <w:i w:val="false"/>
          <w:iCs w:val="false"/>
          <w:color w:val="59595B"/>
          <w:sz w:val="22"/>
          <w:szCs w:val="22"/>
        </w:rPr>
        <w:t xml:space="preserve">A single short commentary on a current grade or lane signals to suppliers, buyers, and search engines that Canusa Hershman has a market voice.</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List your traded grades and specs publicly. </w:t>
      </w:r>
      <w:r>
        <w:rPr>
          <w:rFonts w:ascii="Open Sans" w:cs="Open Sans" w:eastAsia="Open Sans" w:hAnsi="Open Sans"/>
          <w:b w:val="false"/>
          <w:bCs w:val="false"/>
          <w:i w:val="false"/>
          <w:iCs w:val="false"/>
          <w:color w:val="59595B"/>
          <w:sz w:val="22"/>
          <w:szCs w:val="22"/>
        </w:rPr>
        <w:t xml:space="preserve">A simple specs page captures the searches generators and mills actually run.</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Pick the single most painful document. </w:t>
      </w:r>
      <w:r>
        <w:rPr>
          <w:rFonts w:ascii="Open Sans" w:cs="Open Sans" w:eastAsia="Open Sans" w:hAnsi="Open Sans"/>
          <w:b w:val="false"/>
          <w:bCs w:val="false"/>
          <w:i w:val="false"/>
          <w:iCs w:val="false"/>
          <w:color w:val="59595B"/>
          <w:sz w:val="22"/>
          <w:szCs w:val="22"/>
        </w:rPr>
        <w:t xml:space="preserve">Identify the one export document that eats the most staff time — that becomes the first automation target.</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Name a cieTrade owner for the project. </w:t>
      </w:r>
      <w:r>
        <w:rPr>
          <w:rFonts w:ascii="Open Sans" w:cs="Open Sans" w:eastAsia="Open Sans" w:hAnsi="Open Sans"/>
          <w:b w:val="false"/>
          <w:bCs w:val="false"/>
          <w:i w:val="false"/>
          <w:iCs w:val="false"/>
          <w:color w:val="59595B"/>
          <w:sz w:val="22"/>
          <w:szCs w:val="22"/>
        </w:rPr>
        <w:t xml:space="preserve">Designate who knows the cieTrade data model; their half-day of input shapes the entire integration plan.</w:t>
      </w:r>
    </w:p>
    <w:p>
      <w:pPr>
        <w:pStyle w:val="Heading1"/>
        <w:keepNext/>
        <w:pageBreakBefore/>
        <w:spacing w:after="120" w:before="0" w:line="240"/>
      </w:pPr>
      <w:r>
        <w:rPr>
          <w:rFonts w:ascii="Open Sans" w:cs="Open Sans" w:eastAsia="Open Sans" w:hAnsi="Open Sans"/>
          <w:color w:val="FFFFFF"/>
          <w:sz w:val="2"/>
          <w:szCs w:val="2"/>
        </w:rPr>
        <w:t xml:space="preserve">14  Questions to Complete the Analysis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14  Questions to Complete the Analysis</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This is the part that turns a research-based blueprint into a costed, calibrated plan. The answers — from a short discovery call or a half-day AI Readiness Assessment — replace every estimate above with your real numbers. "We’re not sure" is a useful answer.</w:t>
      </w:r>
    </w:p>
    <w:p>
      <w:pPr>
        <w:pStyle w:val="Heading2"/>
        <w:keepNext/>
        <w:keepLines/>
        <w:spacing w:after="130" w:before="300"/>
      </w:pPr>
      <w:r>
        <w:rPr>
          <w:rFonts w:ascii="Open Sans" w:cs="Open Sans" w:eastAsia="Open Sans" w:hAnsi="Open Sans"/>
          <w:b/>
          <w:bCs/>
          <w:color w:val="006DB6"/>
          <w:sz w:val="27"/>
          <w:szCs w:val="27"/>
        </w:rPr>
        <w:t xml:space="preserve">A · Business &amp; trade</w:t>
      </w:r>
    </w:p>
    <w:p>
      <w:pPr>
        <w:pStyle w:val="ListParagraph"/>
        <w:numPr>
          <w:ilvl w:val="0"/>
          <w:numId w:val="2"/>
        </w:numPr>
        <w:spacing w:after="80" w:before="40" w:line="300"/>
      </w:pPr>
      <w:r>
        <w:rPr>
          <w:rFonts w:ascii="Open Sans" w:cs="Open Sans" w:eastAsia="Open Sans" w:hAnsi="Open Sans"/>
          <w:color w:val="59595B"/>
          <w:sz w:val="22"/>
          <w:szCs w:val="22"/>
        </w:rPr>
        <w:t xml:space="preserve">Roughly what volume and trade margin flows through each division, and which divisions are the growth priority?</w:t>
      </w:r>
    </w:p>
    <w:p>
      <w:pPr>
        <w:pStyle w:val="ListParagraph"/>
        <w:numPr>
          <w:ilvl w:val="0"/>
          <w:numId w:val="2"/>
        </w:numPr>
        <w:spacing w:after="80" w:before="40" w:line="300"/>
      </w:pPr>
      <w:r>
        <w:rPr>
          <w:rFonts w:ascii="Open Sans" w:cs="Open Sans" w:eastAsia="Open Sans" w:hAnsi="Open Sans"/>
          <w:color w:val="59595B"/>
          <w:sz w:val="22"/>
          <w:szCs w:val="22"/>
        </w:rPr>
        <w:t xml:space="preserve">Which recovered-paper grades, plastics, and metals do you actually trade most, and into which markets (domestic vs. each export lane)?</w:t>
      </w:r>
    </w:p>
    <w:p>
      <w:pPr>
        <w:pStyle w:val="ListParagraph"/>
        <w:numPr>
          <w:ilvl w:val="0"/>
          <w:numId w:val="2"/>
        </w:numPr>
        <w:spacing w:after="80" w:before="40" w:line="300"/>
      </w:pPr>
      <w:r>
        <w:rPr>
          <w:rFonts w:ascii="Open Sans" w:cs="Open Sans" w:eastAsia="Open Sans" w:hAnsi="Open Sans"/>
          <w:color w:val="59595B"/>
          <w:sz w:val="22"/>
          <w:szCs w:val="22"/>
        </w:rPr>
        <w:t xml:space="preserve">Is the growth goal more supply placed, more offtake secured, better price/timing — or efficiency first?</w:t>
      </w:r>
    </w:p>
    <w:p>
      <w:pPr>
        <w:pStyle w:val="Heading2"/>
        <w:keepNext/>
        <w:keepLines/>
        <w:spacing w:after="130" w:before="300"/>
      </w:pPr>
      <w:r>
        <w:rPr>
          <w:rFonts w:ascii="Open Sans" w:cs="Open Sans" w:eastAsia="Open Sans" w:hAnsi="Open Sans"/>
          <w:b/>
          <w:bCs/>
          <w:color w:val="F67D4B"/>
          <w:sz w:val="27"/>
          <w:szCs w:val="27"/>
        </w:rPr>
        <w:t xml:space="preserve">B · Systems &amp; data</w:t>
      </w:r>
    </w:p>
    <w:p>
      <w:pPr>
        <w:pStyle w:val="ListParagraph"/>
        <w:numPr>
          <w:ilvl w:val="0"/>
          <w:numId w:val="2"/>
        </w:numPr>
        <w:spacing w:after="80" w:before="40" w:line="300"/>
      </w:pPr>
      <w:r>
        <w:rPr>
          <w:rFonts w:ascii="Open Sans" w:cs="Open Sans" w:eastAsia="Open Sans" w:hAnsi="Open Sans"/>
          <w:color w:val="59595B"/>
          <w:sz w:val="22"/>
          <w:szCs w:val="22"/>
        </w:rPr>
        <w:t xml:space="preserve">Which cieTrade modules do you use, and how open is it to integration (API, exports)?</w:t>
      </w:r>
    </w:p>
    <w:p>
      <w:pPr>
        <w:pStyle w:val="ListParagraph"/>
        <w:numPr>
          <w:ilvl w:val="0"/>
          <w:numId w:val="2"/>
        </w:numPr>
        <w:spacing w:after="80" w:before="40" w:line="300"/>
      </w:pPr>
      <w:r>
        <w:rPr>
          <w:rFonts w:ascii="Open Sans" w:cs="Open Sans" w:eastAsia="Open Sans" w:hAnsi="Open Sans"/>
          <w:color w:val="59595B"/>
          <w:sz w:val="22"/>
          <w:szCs w:val="22"/>
        </w:rPr>
        <w:t xml:space="preserve">What other core systems run alongside cieTrade (accounting, logistics, email, document storage)?</w:t>
      </w:r>
    </w:p>
    <w:p>
      <w:pPr>
        <w:pStyle w:val="ListParagraph"/>
        <w:numPr>
          <w:ilvl w:val="0"/>
          <w:numId w:val="2"/>
        </w:numPr>
        <w:spacing w:after="80" w:before="40" w:line="300"/>
      </w:pPr>
      <w:r>
        <w:rPr>
          <w:rFonts w:ascii="Open Sans" w:cs="Open Sans" w:eastAsia="Open Sans" w:hAnsi="Open Sans"/>
          <w:color w:val="59595B"/>
          <w:sz w:val="22"/>
          <w:szCs w:val="22"/>
        </w:rPr>
        <w:t xml:space="preserve">Where does trade documentation live today, and how is it created — manual entry, templates, EDI?</w:t>
      </w:r>
    </w:p>
    <w:p>
      <w:pPr>
        <w:pStyle w:val="Heading2"/>
        <w:keepNext/>
        <w:keepLines/>
        <w:spacing w:after="130" w:before="300"/>
      </w:pPr>
      <w:r>
        <w:rPr>
          <w:rFonts w:ascii="Open Sans" w:cs="Open Sans" w:eastAsia="Open Sans" w:hAnsi="Open Sans"/>
          <w:b/>
          <w:bCs/>
          <w:color w:val="1EAAC8"/>
          <w:sz w:val="27"/>
          <w:szCs w:val="27"/>
        </w:rPr>
        <w:t xml:space="preserve">C · How the work is done today</w:t>
      </w:r>
    </w:p>
    <w:p>
      <w:pPr>
        <w:pStyle w:val="ListParagraph"/>
        <w:numPr>
          <w:ilvl w:val="0"/>
          <w:numId w:val="2"/>
        </w:numPr>
        <w:spacing w:after="80" w:before="40" w:line="300"/>
      </w:pPr>
      <w:r>
        <w:rPr>
          <w:rFonts w:ascii="Open Sans" w:cs="Open Sans" w:eastAsia="Open Sans" w:hAnsi="Open Sans"/>
          <w:color w:val="59595B"/>
          <w:sz w:val="22"/>
          <w:szCs w:val="22"/>
        </w:rPr>
        <w:t xml:space="preserve">How do traders get price and market signals today, and how much time goes into it?</w:t>
      </w:r>
    </w:p>
    <w:p>
      <w:pPr>
        <w:pStyle w:val="ListParagraph"/>
        <w:numPr>
          <w:ilvl w:val="0"/>
          <w:numId w:val="2"/>
        </w:numPr>
        <w:spacing w:after="80" w:before="40" w:line="300"/>
      </w:pPr>
      <w:r>
        <w:rPr>
          <w:rFonts w:ascii="Open Sans" w:cs="Open Sans" w:eastAsia="Open Sans" w:hAnsi="Open Sans"/>
          <w:color w:val="59595B"/>
          <w:sz w:val="22"/>
          <w:szCs w:val="22"/>
        </w:rPr>
        <w:t xml:space="preserve">How are credit decisions and counterparty risk handled, and have bad-debt losses been an issue?</w:t>
      </w:r>
    </w:p>
    <w:p>
      <w:pPr>
        <w:pStyle w:val="ListParagraph"/>
        <w:numPr>
          <w:ilvl w:val="0"/>
          <w:numId w:val="2"/>
        </w:numPr>
        <w:spacing w:after="80" w:before="40" w:line="300"/>
      </w:pPr>
      <w:r>
        <w:rPr>
          <w:rFonts w:ascii="Open Sans" w:cs="Open Sans" w:eastAsia="Open Sans" w:hAnsi="Open Sans"/>
          <w:color w:val="59595B"/>
          <w:sz w:val="22"/>
          <w:szCs w:val="22"/>
        </w:rPr>
        <w:t xml:space="preserve">How many staff hours per week go into export documentation, logistics coordination, and reporting?</w:t>
      </w:r>
    </w:p>
    <w:p>
      <w:pPr>
        <w:pStyle w:val="ListParagraph"/>
        <w:numPr>
          <w:ilvl w:val="0"/>
          <w:numId w:val="2"/>
        </w:numPr>
        <w:spacing w:after="80" w:before="40" w:line="300"/>
      </w:pPr>
      <w:r>
        <w:rPr>
          <w:rFonts w:ascii="Open Sans" w:cs="Open Sans" w:eastAsia="Open Sans" w:hAnsi="Open Sans"/>
          <w:color w:val="59595B"/>
          <w:sz w:val="22"/>
          <w:szCs w:val="22"/>
        </w:rPr>
        <w:t xml:space="preserve">How is sustainability / diversion reporting produced for customers today?</w:t>
      </w:r>
    </w:p>
    <w:p>
      <w:pPr>
        <w:pStyle w:val="Heading2"/>
        <w:keepNext/>
        <w:keepLines/>
        <w:spacing w:after="130" w:before="300"/>
      </w:pPr>
      <w:r>
        <w:rPr>
          <w:rFonts w:ascii="Open Sans" w:cs="Open Sans" w:eastAsia="Open Sans" w:hAnsi="Open Sans"/>
          <w:b/>
          <w:bCs/>
          <w:color w:val="CBDB2D"/>
          <w:sz w:val="27"/>
          <w:szCs w:val="27"/>
        </w:rPr>
        <w:t xml:space="preserve">D · Brand, web &amp; decision</w:t>
      </w:r>
    </w:p>
    <w:p>
      <w:pPr>
        <w:pStyle w:val="ListParagraph"/>
        <w:numPr>
          <w:ilvl w:val="0"/>
          <w:numId w:val="2"/>
        </w:numPr>
        <w:spacing w:after="80" w:before="40" w:line="300"/>
      </w:pPr>
      <w:r>
        <w:rPr>
          <w:rFonts w:ascii="Open Sans" w:cs="Open Sans" w:eastAsia="Open Sans" w:hAnsi="Open Sans"/>
          <w:color w:val="59595B"/>
          <w:sz w:val="22"/>
          <w:szCs w:val="22"/>
        </w:rPr>
        <w:t xml:space="preserve">Who owns the website and marketing, and is there appetite to publish market content?</w:t>
      </w:r>
    </w:p>
    <w:p>
      <w:pPr>
        <w:pStyle w:val="ListParagraph"/>
        <w:numPr>
          <w:ilvl w:val="0"/>
          <w:numId w:val="2"/>
        </w:numPr>
        <w:spacing w:after="80" w:before="40" w:line="300"/>
      </w:pPr>
      <w:r>
        <w:rPr>
          <w:rFonts w:ascii="Open Sans" w:cs="Open Sans" w:eastAsia="Open Sans" w:hAnsi="Open Sans"/>
          <w:color w:val="59595B"/>
          <w:sz w:val="22"/>
          <w:szCs w:val="22"/>
        </w:rPr>
        <w:t xml:space="preserve">Do you hold ISO 9001 / 14001 or other certifications we should reflect (the public site does not state any)?</w:t>
      </w:r>
    </w:p>
    <w:p>
      <w:pPr>
        <w:pStyle w:val="ListParagraph"/>
        <w:numPr>
          <w:ilvl w:val="0"/>
          <w:numId w:val="2"/>
        </w:numPr>
        <w:spacing w:after="80" w:before="40" w:line="300"/>
      </w:pPr>
      <w:r>
        <w:rPr>
          <w:rFonts w:ascii="Open Sans" w:cs="Open Sans" w:eastAsia="Open Sans" w:hAnsi="Open Sans"/>
          <w:color w:val="59595B"/>
          <w:sz w:val="22"/>
          <w:szCs w:val="22"/>
        </w:rPr>
        <w:t xml:space="preserve">Can you confirm the office footprint — in particular, is there a Plymouth, Michigan location, or was that an error?</w:t>
      </w:r>
    </w:p>
    <w:p>
      <w:pPr>
        <w:pStyle w:val="ListParagraph"/>
        <w:numPr>
          <w:ilvl w:val="0"/>
          <w:numId w:val="2"/>
        </w:numPr>
        <w:spacing w:after="80" w:before="40" w:line="300"/>
      </w:pPr>
      <w:r>
        <w:rPr>
          <w:rFonts w:ascii="Open Sans" w:cs="Open Sans" w:eastAsia="Open Sans" w:hAnsi="Open Sans"/>
          <w:color w:val="59595B"/>
          <w:sz w:val="22"/>
          <w:szCs w:val="22"/>
        </w:rPr>
        <w:t xml:space="preserve">Who sponsors this initiative, who else weighs in, and what would a successful first year look like?</w:t>
      </w:r>
    </w:p>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Two easy ways to answer</w:t>
            </w:r>
          </w:p>
          <w:p>
            <w:pPr>
              <w:keepNext w:val="false"/>
              <w:keepLines/>
              <w:spacing w:after="60" w:before="40" w:line="300"/>
            </w:pPr>
            <w:r>
              <w:rPr>
                <w:rFonts w:ascii="Open Sans" w:cs="Open Sans" w:eastAsia="Open Sans" w:hAnsi="Open Sans"/>
                <w:color w:val="59595B"/>
                <w:sz w:val="20"/>
                <w:szCs w:val="20"/>
              </w:rPr>
              <w:t xml:space="preserve">Most of these take a 45-minute discovery call. For Sections B and C, a half-day AI Readiness Assessment maps your cieTrade workflows directly and returns a prioritized, costed automation roadmap — which is also the cleanest first engagement.</w:t>
            </w:r>
          </w:p>
        </w:tc>
      </w:tr>
    </w:tbl>
    <w:p>
      <w:pPr>
        <w:pStyle w:val="Heading1"/>
        <w:keepNext/>
        <w:pageBreakBefore/>
        <w:spacing w:after="120" w:before="0" w:line="240"/>
      </w:pPr>
      <w:r>
        <w:rPr>
          <w:rFonts w:ascii="Open Sans" w:cs="Open Sans" w:eastAsia="Open Sans" w:hAnsi="Open Sans"/>
          <w:color w:val="FFFFFF"/>
          <w:sz w:val="2"/>
          <w:szCs w:val="2"/>
        </w:rPr>
        <w:t xml:space="preserve">15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15  What Happens Next</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A low-commitment sequence that produces something useful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4867"/>
        <w:gridCol w:w="3745"/>
      </w:tblGrid>
      <w:tr>
        <w:trPr>
          <w:tblHeader/>
        </w:trPr>
        <w:tc>
          <w:tcPr>
            <w:tcW w:type="dxa" w:w="74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Step</w:t>
            </w:r>
          </w:p>
        </w:tc>
        <w:tc>
          <w:tcPr>
            <w:tcW w:type="dxa" w:w="4867"/>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happens</w:t>
            </w:r>
          </w:p>
        </w:tc>
        <w:tc>
          <w:tcPr>
            <w:tcW w:type="dxa" w:w="374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Your commitment</w:t>
            </w:r>
          </w:p>
        </w:tc>
      </w:tr>
      <w:tr>
        <w:trPr>
          <w:cantSplit/>
        </w:trPr>
        <w:tc>
          <w:tcPr>
            <w:tcW w:type="dxa" w:w="74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1</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Executive AI Briefing or discovery call — walk this blueprint and the Section 14 questions.</w:t>
            </w:r>
          </w:p>
        </w:tc>
        <w:tc>
          <w:tcPr>
            <w:tcW w:type="dxa" w:w="374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meeting. No commitment.</w:t>
            </w:r>
          </w:p>
        </w:tc>
      </w:tr>
      <w:tr>
        <w:trPr>
          <w:cantSplit/>
        </w:trPr>
        <w:tc>
          <w:tcPr>
            <w:tcW w:type="dxa" w:w="74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2</w:t>
            </w:r>
          </w:p>
        </w:tc>
        <w:tc>
          <w:tcPr>
            <w:tcW w:type="dxa" w:w="4867"/>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AI Readiness Assessment — a half-day mapping of workflows and cieTrade, returned as a prioritized, costed roadmap.</w:t>
            </w:r>
          </w:p>
        </w:tc>
        <w:tc>
          <w:tcPr>
            <w:tcW w:type="dxa" w:w="374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fixed-scope engagement; the roadmap is yours.</w:t>
            </w:r>
          </w:p>
        </w:tc>
      </w:tr>
      <w:tr>
        <w:trPr>
          <w:cantSplit/>
        </w:trPr>
        <w:tc>
          <w:tcPr>
            <w:tcW w:type="dxa" w:w="74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3</w:t>
            </w:r>
          </w:p>
        </w:tc>
        <w:tc>
          <w:tcPr>
            <w:tcW w:type="dxa" w:w="4867"/>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Land-and-expand build — start with one automation and the authority layer; scale across divisions as each proves out.</w:t>
            </w:r>
          </w:p>
        </w:tc>
        <w:tc>
          <w:tcPr>
            <w:tcW w:type="dxa" w:w="374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You decide, with real numbers in hand.</w:t>
            </w:r>
          </w:p>
        </w:tc>
      </w:tr>
    </w:tbl>
    <w:p>
      <w:pPr>
        <w:keepNext/>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Let’s start the conversation</w:t>
            </w:r>
          </w:p>
          <w:p>
            <w:pPr>
              <w:keepNext/>
              <w:keepLines/>
              <w:spacing w:after="60" w:before="40" w:line="300"/>
            </w:pPr>
            <w:r>
              <w:rPr>
                <w:rFonts w:ascii="Open Sans" w:cs="Open Sans" w:eastAsia="Open Sans" w:hAnsi="Open Sans"/>
                <w:color w:val="59595B"/>
                <w:sz w:val="20"/>
                <w:szCs w:val="20"/>
              </w:rPr>
              <w:t xml:space="preserve">An Executive AI Briefing is the easiest first step — a working session on where AI creates measurable value for Canusa Hershman, with no obligation. Or we begin with the AI Readiness Assessment for a deeper, costed roadmap.</w:t>
            </w:r>
          </w:p>
          <w:p>
            <w:pPr>
              <w:keepNext w:val="false"/>
              <w:keepLines/>
              <w:spacing w:after="60" w:before="40" w:line="300"/>
            </w:pPr>
            <w:r>
              <w:rPr>
                <w:rFonts w:ascii="Open Sans" w:cs="Open Sans" w:eastAsia="Open Sans" w:hAnsi="Open Sans"/>
                <w:color w:val="59595B"/>
                <w:sz w:val="20"/>
                <w:szCs w:val="20"/>
              </w:rPr>
              <w:t xml:space="preserve">Ravi Jain, Founder &amp; CEO · rjain@technijian.com · 949.379.8499 · technijian.com</w:t>
            </w:r>
          </w:p>
        </w:tc>
      </w:tr>
    </w:tbl>
    <w:p>
      <w:pPr>
        <w:pStyle w:val="Heading1"/>
        <w:keepNext/>
        <w:pageBreakBefore/>
        <w:spacing w:after="120" w:before="0" w:line="240"/>
      </w:pPr>
      <w:r>
        <w:rPr>
          <w:rFonts w:ascii="Open Sans" w:cs="Open Sans" w:eastAsia="Open Sans" w:hAnsi="Open Sans"/>
          <w:color w:val="FFFFFF"/>
          <w:sz w:val="2"/>
          <w:szCs w:val="2"/>
        </w:rPr>
        <w:t xml:space="preserve">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About Technijian</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 strategy and implementation firm and full-spectrum IT services company founded in 2000 by Ravi Jain. We help organizations across manufacturing, logistics, financial services, and supply chain move from AI curiosity to operational deployment — we architect, build, and operationalize through to production. Our dedicated pod model assigns a named team to each client, and our Irvine, California and Panchkula, India offices provide coverage across time zones. Our approach is cybersecurity-first and AI-forward.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Contact</w:t>
            </w:r>
          </w:p>
        </w:tc>
        <w:tc>
          <w:tcPr>
            <w:tcW w:type="dxa" w:w="6552"/>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Detail</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Primary contact</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Ravi Jain, Founder &amp; CEO — rjain@technijian.com</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Main line</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949.379.8499 (reaches both U.S. and India teams)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U.S. headquarters</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18 Technology Dr., Ste 141, Irvine, CA 92618</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India delivery center</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Panchkula, Haryana, India</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Web</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technijian.com · technology as a solution</w:t>
            </w:r>
          </w:p>
        </w:tc>
      </w:tr>
    </w:tbl>
    <w:p>
      <w:pPr>
        <w:pStyle w:val="Heading1"/>
        <w:keepNext/>
        <w:pageBreakBefore/>
        <w:spacing w:after="120" w:before="0" w:line="240"/>
      </w:pPr>
      <w:r>
        <w:rPr>
          <w:rFonts w:ascii="Open Sans" w:cs="Open Sans" w:eastAsia="Open Sans" w:hAnsi="Open Sans"/>
          <w:color w:val="FFFFFF"/>
          <w:sz w:val="2"/>
          <w:szCs w:val="2"/>
        </w:rPr>
        <w:t xml:space="preserve">Appendix — Sources &amp; What Remains to Confirm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Appendix — Sources &amp; What Remains to Confirm</w:t>
            </w:r>
          </w:p>
        </w:tc>
      </w:tr>
    </w:tbl>
    <w:p>
      <w:pPr>
        <w:keepNext/>
        <w:spacing w:after="0" w:before="120"/>
      </w:pPr>
      <w:r>
        <w:t xml:space="preserve"/>
      </w:r>
    </w:p>
    <w:p>
      <w:pPr>
        <w:pStyle w:val="Heading2"/>
        <w:keepNext/>
        <w:keepLines/>
        <w:spacing w:after="130" w:before="300"/>
      </w:pPr>
      <w:r>
        <w:rPr>
          <w:rFonts w:ascii="Open Sans" w:cs="Open Sans" w:eastAsia="Open Sans" w:hAnsi="Open Sans"/>
          <w:b/>
          <w:bCs/>
          <w:color w:val="006DB6"/>
          <w:sz w:val="27"/>
          <w:szCs w:val="27"/>
        </w:rPr>
        <w:t xml:space="preserve">What we verified vs. inferred / could not confirm</w:t>
      </w:r>
    </w:p>
    <w:p>
      <w:pPr>
        <w:pStyle w:val="ListParagraph"/>
        <w:numPr>
          <w:ilvl w:val="0"/>
          <w:numId w:val="2"/>
        </w:numPr>
        <w:spacing w:after="80" w:before="40" w:line="300"/>
      </w:pPr>
      <w:r>
        <w:rPr>
          <w:rFonts w:ascii="Open Sans" w:cs="Open Sans" w:eastAsia="Open Sans" w:hAnsi="Open Sans"/>
          <w:color w:val="59595B"/>
          <w:sz w:val="22"/>
          <w:szCs w:val="22"/>
        </w:rPr>
        <w:t xml:space="preserve">Parent-brand structure, divisions, and independent family ownership — VERIFIED (company history page; trade press; newportch.com).</w:t>
      </w:r>
    </w:p>
    <w:p>
      <w:pPr>
        <w:pStyle w:val="ListParagraph"/>
        <w:numPr>
          <w:ilvl w:val="0"/>
          <w:numId w:val="2"/>
        </w:numPr>
        <w:spacing w:after="80" w:before="40" w:line="300"/>
      </w:pPr>
      <w:r>
        <w:rPr>
          <w:rFonts w:ascii="Open Sans" w:cs="Open Sans" w:eastAsia="Open Sans" w:hAnsi="Open Sans"/>
          <w:color w:val="59595B"/>
          <w:sz w:val="22"/>
          <w:szCs w:val="22"/>
        </w:rPr>
        <w:t xml:space="preserve">Branford CT headquarters, plant/office locations, and CEO/leadership — VERIFIED (company contact + team pages; Recycling Today).</w:t>
      </w:r>
    </w:p>
    <w:p>
      <w:pPr>
        <w:pStyle w:val="ListParagraph"/>
        <w:numPr>
          <w:ilvl w:val="0"/>
          <w:numId w:val="2"/>
        </w:numPr>
        <w:spacing w:after="80" w:before="40" w:line="300"/>
      </w:pPr>
      <w:r>
        <w:rPr>
          <w:rFonts w:ascii="Open Sans" w:cs="Open Sans" w:eastAsia="Open Sans" w:hAnsi="Open Sans"/>
          <w:color w:val="59595B"/>
          <w:sz w:val="22"/>
          <w:szCs w:val="22"/>
        </w:rPr>
        <w:t xml:space="preserve">cieTrade as the trading system of record — VERIFIED (portal links on canusahershman.com).</w:t>
      </w:r>
    </w:p>
    <w:p>
      <w:pPr>
        <w:pStyle w:val="ListParagraph"/>
        <w:numPr>
          <w:ilvl w:val="0"/>
          <w:numId w:val="2"/>
        </w:numPr>
        <w:spacing w:after="80" w:before="40" w:line="300"/>
      </w:pPr>
      <w:r>
        <w:rPr>
          <w:rFonts w:ascii="Open Sans" w:cs="Open Sans" w:eastAsia="Open Sans" w:hAnsi="Open Sans"/>
          <w:color w:val="59595B"/>
          <w:sz w:val="22"/>
          <w:szCs w:val="22"/>
        </w:rPr>
        <w:t xml:space="preserve">Revenue — NOT confirmed (public figures conflict); no hard revenue cited in this document.</w:t>
      </w:r>
    </w:p>
    <w:p>
      <w:pPr>
        <w:pStyle w:val="ListParagraph"/>
        <w:numPr>
          <w:ilvl w:val="0"/>
          <w:numId w:val="2"/>
        </w:numPr>
        <w:spacing w:after="80" w:before="40" w:line="300"/>
      </w:pPr>
      <w:r>
        <w:rPr>
          <w:rFonts w:ascii="Open Sans" w:cs="Open Sans" w:eastAsia="Open Sans" w:hAnsi="Open Sans"/>
          <w:color w:val="59595B"/>
          <w:sz w:val="22"/>
          <w:szCs w:val="22"/>
        </w:rPr>
        <w:t xml:space="preserve">ISO certification, the "Plymouth, MI" address, and a "Frontier Trading" partner — NOT confirmed; excluded and listed as questions.</w:t>
      </w:r>
    </w:p>
    <w:p>
      <w:pPr>
        <w:pStyle w:val="ListParagraph"/>
        <w:numPr>
          <w:ilvl w:val="0"/>
          <w:numId w:val="2"/>
        </w:numPr>
        <w:spacing w:after="80" w:before="40" w:line="300"/>
      </w:pPr>
      <w:r>
        <w:rPr>
          <w:rFonts w:ascii="Open Sans" w:cs="Open Sans" w:eastAsia="Open Sans" w:hAnsi="Open Sans"/>
          <w:color w:val="59595B"/>
          <w:sz w:val="22"/>
          <w:szCs w:val="22"/>
        </w:rPr>
        <w:t xml:space="preserve">Specific recovered-paper grades traded and rail-vs-ocean logistics mix — industry-typical but not stated publicly; deferred to discovery.</w:t>
      </w:r>
    </w:p>
    <w:p>
      <w:pPr>
        <w:pStyle w:val="Heading2"/>
        <w:keepNext/>
        <w:keepLines/>
        <w:spacing w:after="130" w:before="300"/>
      </w:pPr>
      <w:r>
        <w:rPr>
          <w:rFonts w:ascii="Open Sans" w:cs="Open Sans" w:eastAsia="Open Sans" w:hAnsi="Open Sans"/>
          <w:b/>
          <w:bCs/>
          <w:color w:val="006DB6"/>
          <w:sz w:val="27"/>
          <w:szCs w:val="27"/>
        </w:rPr>
        <w:t xml:space="preserve">Selected sources</w:t>
      </w:r>
    </w:p>
    <w:p>
      <w:pPr>
        <w:pStyle w:val="ListParagraph"/>
        <w:numPr>
          <w:ilvl w:val="0"/>
          <w:numId w:val="2"/>
        </w:numPr>
        <w:spacing w:after="80" w:before="40" w:line="300"/>
      </w:pPr>
      <w:r>
        <w:rPr>
          <w:rFonts w:ascii="Open Sans" w:cs="Open Sans" w:eastAsia="Open Sans" w:hAnsi="Open Sans"/>
          <w:color w:val="59595B"/>
          <w:sz w:val="22"/>
          <w:szCs w:val="22"/>
        </w:rPr>
        <w:t xml:space="preserve">Canusa Hershman — history, what we do, divisions, team, contact: canusahershman.com.</w:t>
      </w:r>
    </w:p>
    <w:p>
      <w:pPr>
        <w:pStyle w:val="ListParagraph"/>
        <w:numPr>
          <w:ilvl w:val="0"/>
          <w:numId w:val="2"/>
        </w:numPr>
        <w:spacing w:after="80" w:before="40" w:line="300"/>
      </w:pPr>
      <w:r>
        <w:rPr>
          <w:rFonts w:ascii="Open Sans" w:cs="Open Sans" w:eastAsia="Open Sans" w:hAnsi="Open Sans"/>
          <w:color w:val="59595B"/>
          <w:sz w:val="22"/>
          <w:szCs w:val="22"/>
        </w:rPr>
        <w:t xml:space="preserve">Newport CH International — history (2003 JV, export arm): newportch.com.</w:t>
      </w:r>
    </w:p>
    <w:p>
      <w:pPr>
        <w:pStyle w:val="ListParagraph"/>
        <w:numPr>
          <w:ilvl w:val="0"/>
          <w:numId w:val="2"/>
        </w:numPr>
        <w:spacing w:after="80" w:before="40" w:line="300"/>
      </w:pPr>
      <w:r>
        <w:rPr>
          <w:rFonts w:ascii="Open Sans" w:cs="Open Sans" w:eastAsia="Open Sans" w:hAnsi="Open Sans"/>
          <w:color w:val="59595B"/>
          <w:sz w:val="22"/>
          <w:szCs w:val="22"/>
        </w:rPr>
        <w:t xml:space="preserve">Recycling Today — 2002 merger and 2022 Recycle 1 / Arizona Pacific acquisition coverage.</w:t>
      </w:r>
    </w:p>
    <w:p>
      <w:pPr>
        <w:pStyle w:val="ListParagraph"/>
        <w:numPr>
          <w:ilvl w:val="0"/>
          <w:numId w:val="2"/>
        </w:numPr>
        <w:spacing w:after="80" w:before="40" w:line="300"/>
      </w:pPr>
      <w:r>
        <w:rPr>
          <w:rFonts w:ascii="Open Sans" w:cs="Open Sans" w:eastAsia="Open Sans" w:hAnsi="Open Sans"/>
          <w:color w:val="59595B"/>
          <w:sz w:val="22"/>
          <w:szCs w:val="22"/>
        </w:rPr>
        <w:t xml:space="preserve">cieTrade — recovered-materials trading platform (supplier/customer portals).</w:t>
      </w:r>
    </w:p>
    <w:p>
      <w:pPr>
        <w:pStyle w:val="ListParagraph"/>
        <w:numPr>
          <w:ilvl w:val="0"/>
          <w:numId w:val="2"/>
        </w:numPr>
        <w:spacing w:after="80" w:before="40" w:line="300"/>
      </w:pPr>
      <w:r>
        <w:rPr>
          <w:rFonts w:ascii="Open Sans" w:cs="Open Sans" w:eastAsia="Open Sans" w:hAnsi="Open Sans"/>
          <w:color w:val="59595B"/>
          <w:sz w:val="22"/>
          <w:szCs w:val="22"/>
        </w:rPr>
        <w:t xml:space="preserve">Industry &amp; regulatory — AF&amp;PA US paper recovery statistics; Fastmarkets RISI (recovered-fiber price benchmark) and 2025 producer moves away from it; Resource Recycling / Recycling Today (China "National Sword" 2018, OCC/mixed-paper price history, domestic recycled-fiber capacity tracker, &gt;8M tons since 2018); Basel Convention Secretariat + US EPA (plastic-waste amendments 2021; US non-Party status); CalRecycle / Circular Action Alliance / state trackers (seven-state EPR, SB 54); ReMA/ISRI Scrap Specifications Circular (grade definitions).</w:t>
      </w:r>
    </w:p>
    <w:p>
      <w:pPr>
        <w:pStyle w:val="ListParagraph"/>
        <w:numPr>
          <w:ilvl w:val="0"/>
          <w:numId w:val="2"/>
        </w:numPr>
        <w:spacing w:after="80" w:before="40" w:line="300"/>
      </w:pPr>
      <w:r>
        <w:rPr>
          <w:rFonts w:ascii="Open Sans" w:cs="Open Sans" w:eastAsia="Open Sans" w:hAnsi="Open Sans"/>
          <w:color w:val="59595B"/>
          <w:sz w:val="22"/>
          <w:szCs w:val="22"/>
        </w:rPr>
        <w:t xml:space="preserve">AI use-case outcomes — McKinsey (supply-chain &amp; credit decisioning); IMF &amp; World Bank (commodity-price forecasting limits); CFPB (AI credit-decision guidance); AIIM/Deep Analysis (intelligent document processing); named vendor case studies. All projections labeled as such; price prediction treated as probabilistic decision-support.</w:t>
      </w:r>
    </w:p>
    <w:p>
      <w:pPr>
        <w:pStyle w:val="ListParagraph"/>
        <w:numPr>
          <w:ilvl w:val="0"/>
          <w:numId w:val="2"/>
        </w:numPr>
        <w:spacing w:after="80" w:before="40" w:line="300"/>
      </w:pPr>
      <w:r>
        <w:rPr>
          <w:rFonts w:ascii="Open Sans" w:cs="Open Sans" w:eastAsia="Open Sans" w:hAnsi="Open Sans"/>
          <w:color w:val="59595B"/>
          <w:sz w:val="22"/>
          <w:szCs w:val="22"/>
        </w:rPr>
        <w:t xml:space="preserve">AI framing — MIT Sloan (AI literacy); Anthropic (workflows vs. agents); NIST AI Risk Management Framework.</w:t>
      </w:r>
    </w:p>
    <w:p>
      <w:pPr>
        <w:keepNext/>
        <w:spacing w:after="0" w:before="120"/>
      </w:pPr>
      <w:r>
        <w:t xml:space="preserve"/>
      </w:r>
    </w:p>
    <w:p>
      <w:pPr>
        <w:spacing w:after="80" w:before="0" w:line="320"/>
        <w:jc w:val="both"/>
      </w:pPr>
      <w:r>
        <w:rPr>
          <w:rFonts w:ascii="Open Sans" w:cs="Open Sans" w:eastAsia="Open Sans" w:hAnsi="Open Sans"/>
          <w:b w:val="false"/>
          <w:bCs w:val="false"/>
          <w:i/>
          <w:iCs/>
          <w:color w:val="59595B"/>
          <w:sz w:val="18"/>
          <w:szCs w:val="18"/>
        </w:rPr>
        <w:t xml:space="preserve">Market and industry figures are facts about the wider market; figures specific to Canusa Hershman are intentionally deferred to discovery. Prepared by Technijian, June 16, 2026.</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b/>
        <w:bCs/>
        <w:color w:val="59595B"/>
        <w:sz w:val="16"/>
        <w:szCs w:val="16"/>
      </w:rPr>
      <w:t xml:space="preserve">Technijian</w:t>
    </w:r>
    <w:r>
      <w:rPr>
        <w:rFonts w:ascii="Open Sans" w:cs="Open Sans" w:eastAsia="Open Sans" w:hAnsi="Open Sans"/>
        <w:color w:val="59595B"/>
        <w:sz w:val="16"/>
        <w:szCs w:val="16"/>
      </w:rPr>
      <w:t xml:space="preserve">  ·  technology as a solution  ·  technijian.com  ·  949.379.8499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6DB6" w:sz="6"/>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r>
            <w:drawing>
              <wp:inline distT="0" distB="0" distL="0" distR="0">
                <wp:extent cx="1257300" cy="266700"/>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2667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right"/>
          </w:pPr>
          <w:r>
            <w:rPr>
              <w:rFonts w:ascii="Open Sans" w:cs="Open Sans" w:eastAsia="Open Sans" w:hAnsi="Open Sans"/>
              <w:color w:val="59595B"/>
              <w:sz w:val="16"/>
              <w:szCs w:val="16"/>
            </w:rPr>
            <w:t xml:space="preserve">Canusa Hershman  ·  AI Growth &amp; Integration Blueprint</w:t>
          </w:r>
        </w:p>
      </w:tc>
    </w:tr>
  </w:tbl>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80" w:before="300"/>
      <w:outlineLvl w:val="1"/>
    </w:pPr>
    <w:rPr>
      <w:rFonts w:ascii="Open Sans" w:cs="Open Sans" w:eastAsia="Open Sans" w:hAnsi="Open Sans"/>
      <w:b/>
      <w:bCs/>
      <w:color w:val="006DB6"/>
      <w:sz w:val="28"/>
      <w:szCs w:val="28"/>
    </w:rPr>
  </w:style>
  <w:style w:type="paragraph" w:styleId="Heading3">
    <w:name w:val="Heading 3"/>
    <w:basedOn w:val="Normal"/>
    <w:next w:val="Normal"/>
    <w:qFormat/>
    <w:pPr>
      <w:spacing w:after="120" w:before="24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image" Target="media/f7b7c30e931a4c62db2d139a1d9af116d084450b.png"/><Relationship Id="rId11" Type="http://schemas.openxmlformats.org/officeDocument/2006/relationships/image" Target="media/dfc01205103348b27681e93e241eddbf090181c9.png"/><Relationship Id="rId12" Type="http://schemas.openxmlformats.org/officeDocument/2006/relationships/image" Target="media/7e3b2be5a94b78770afc095afdc84a94bad893b1.png"/><Relationship Id="rId13" Type="http://schemas.openxmlformats.org/officeDocument/2006/relationships/image" Target="media/66780fd91ef22b646fa8d6f53e5266938820da5f.png"/><Relationship Id="rId14" Type="http://schemas.openxmlformats.org/officeDocument/2006/relationships/image" Target="media/be9f538c81269bb6f1944c308089126165bc434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Canusa Hershman — AI Growth &amp; Integration Blueprint</dc:title>
  <dc:creator>Technijian</dc:creator>
  <dc:description>A facts-only AI Growth &amp; Integration blueprint for Canusa Hershman, prepared by Technijian.</dc:description>
  <cp:lastModifiedBy>Un-named</cp:lastModifiedBy>
  <cp:revision>1</cp:revision>
  <dcterms:created xsi:type="dcterms:W3CDTF">2026-06-16T19:00:36.373Z</dcterms:created>
  <dcterms:modified xsi:type="dcterms:W3CDTF">2026-06-16T19:00:36.376Z</dcterms:modified>
</cp:coreProperties>
</file>

<file path=docProps/custom.xml><?xml version="1.0" encoding="utf-8"?>
<Properties xmlns="http://schemas.openxmlformats.org/officeDocument/2006/custom-properties" xmlns:vt="http://schemas.openxmlformats.org/officeDocument/2006/docPropsVTypes"/>
</file>