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</w:tr>
    </w:tbl>
    <w:p>
      <w:pPr>
        <w:keepNext/>
        <w:spacing w:after="0" w:before="2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2381250" cy="495300"/>
            <wp:effectExtent t="0" r="0" b="0" l="0"/>
            <wp:docPr id="1" name="Technijian Logo" descr="Technijian Logo" title="Technij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00"/>
      </w:pPr>
      <w:r>
        <w:t xml:space="preserve"/>
      </w:r>
    </w:p>
    <w:p>
      <w:pPr>
        <w:spacing w:after="90" w:before="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F67D4B"/>
          <w:sz w:val="22"/>
          <w:szCs w:val="22"/>
        </w:rPr>
        <w:t xml:space="preserve">EXECUTIVE SUMMARY</w:t>
      </w:r>
    </w:p>
    <w:p>
      <w:pPr>
        <w:spacing w:after="80" w:before="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42"/>
          <w:szCs w:val="42"/>
        </w:rPr>
        <w:t xml:space="preserve">Canusa Hershman</w:t>
      </w:r>
    </w:p>
    <w:p>
      <w:pPr>
        <w:spacing w:after="60"/>
        <w:jc w:val="center"/>
      </w:pPr>
      <w:r>
        <w:rPr>
          <w:rFonts w:ascii="Open Sans" w:cs="Open Sans" w:eastAsia="Open Sans" w:hAnsi="Open Sans"/>
          <w:i/>
          <w:iCs/>
          <w:color w:val="59595B"/>
          <w:sz w:val="21"/>
          <w:szCs w:val="21"/>
        </w:rPr>
        <w:t xml:space="preserve">AI Growth &amp; Integration — where AI grows the trade and integrates the back office</w:t>
      </w:r>
    </w:p>
    <w:p>
      <w:pPr>
        <w:spacing w:after="170"/>
        <w:jc w:val="center"/>
      </w:pPr>
      <w:r>
        <w:rPr>
          <w:rFonts w:ascii="Open Sans" w:cs="Open Sans" w:eastAsia="Open Sans" w:hAnsi="Open Sans"/>
          <w:color w:val="59595B"/>
          <w:sz w:val="17"/>
          <w:szCs w:val="17"/>
        </w:rPr>
        <w:t xml:space="preserve">Prepared for Canusa Hershman  ·  June 16, 2026  ·  Confidential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0"/>
                <w:szCs w:val="40"/>
              </w:rPr>
              <w:t xml:space="preserve">2002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Group formed (roots to 1887)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40"/>
                <w:szCs w:val="40"/>
              </w:rPr>
              <w:t xml:space="preserve">1M+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Tons/yr (self-reported)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40"/>
                <w:szCs w:val="4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Operating divisions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40"/>
                <w:szCs w:val="40"/>
              </w:rPr>
              <w:t xml:space="preserve">cieTrade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Core system of record</w:t>
            </w:r>
          </w:p>
        </w:tc>
      </w:tr>
    </w:tbl>
    <w:p>
      <w:pPr>
        <w:keepNext/>
        <w:spacing w:after="0" w:before="150"/>
      </w:pPr>
      <w:r>
        <w:t xml:space="preserve"/>
      </w:r>
    </w:p>
    <w:p>
      <w:pPr>
        <w:spacing w:after="12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Canusa Hershman is an independent, founder- and family-held group that sits in the middle of a two-sided global trade: it sources recovered fiber, plastics, and metals, finances and moves the material, and sells it to mills and consumers worldwide. This summary shows where AI creates measurable value — on two fronts — and states only verified facts, deferring every company-specific number to discovery.</w:t>
      </w:r>
    </w:p>
    <w:p>
      <w:pPr>
        <w:spacing w:after="60" w:before="0" w:line="318"/>
        <w:jc w:val="both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Grow the trade.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AI arms the trader, it does not replace them: price and market-signal decision-support, account and credit intelligence, pre-call dossiers, and authority content that makes Canusa Hershman the cited name when a generator or mill goes looking.</w:t>
      </w: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  Integrate and run leaner.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fastest, lowest-risk returns are in the back office: automating bills of lading, customs, and certificates of origin into cieTrade; supplier/customer portals; logistics optimization; and ESG reporting.</w:t>
      </w:r>
    </w:p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What we verified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A group, not one company: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rebranded to a parent brand in 2021, with six divisions (CHRC trading, Recycle 1 processing, BA/CH Polymers, Evergreen Fibres, Pulp &amp; Alt Fibers, Newport CH export JV).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Independent and the consolidator: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founder/family-held LLC (Fleming + Hershman), not PE-owned — acquiring, not being acquired. HQ Branford, CT.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Built on cieTrade: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supplier/customer portals run on the cieTrade trading platform — the anchor every integration play plugs into.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A digital gap that is the wedge: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no published market commentary, and a LinkedIn page mislabeled as a semiconductor manufacturer — fixable, and the clearest place to start.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AAC8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22"/>
                <w:szCs w:val="22"/>
              </w:rPr>
              <w:t xml:space="preserve">A correction we made for accuracy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Three details that circulate about this account did not survive verification, so we left them out and turned them into questions: an "ISO-certified" claim, a "Plymouth, Michigan" HQ (the verified HQ is Branford, CT), and a "Frontier Trading" partnership. That is the standard of evidence behind every figure here.</w:t>
            </w:r>
          </w:p>
        </w:tc>
      </w:tr>
    </w:tbl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The engine</w:t>
      </w:r>
    </w:p>
    <w:p>
      <w:pPr>
        <w:spacing w:after="6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Three columns: get found and trusted, arm the traders with intelligence, and integrate the back office around cieTrade — each delivered by a specific Technijian service.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715000" cy="3581400"/>
            <wp:effectExtent t="0" r="0" b="0" l="0"/>
            <wp:docPr id="1" name="AI growth and integration engine" descr="AI growth and integration engine" title="AI growth and integration en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Investment &amp; the path forward</w:t>
      </w:r>
    </w:p>
    <w:p>
      <w:pPr>
        <w:spacing w:after="100" w:before="0" w:line="318"/>
        <w:jc w:val="both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No invented numbers.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We price from real, published Technijian service ranges and model ROI only after discovery — on trade margin and hours recovered, not revenue (the public revenue figures for the group conflict, so we cite none). The path is land-and-expand: prove one automation and the authority layer, then scale across divisions.</w:t>
      </w:r>
    </w:p>
    <w:p>
      <w:pPr>
        <w:spacing w:after="11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easiest first step is an Executive AI Briefing — a working session on where AI creates measurable value for Canusa Hershman, no obligation. Or begin with a half-day AI Readiness Assessment that maps your cieTrade workflows and returns a prioritized, costed roadmap. The full blueprint ends with a structured questionnaire — "Questions to Complete the Analysis" — that turns this summary into a costed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2"/>
                <w:szCs w:val="22"/>
              </w:rPr>
              <w:t xml:space="preserve">Start the conversation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Ravi Jain, Founder &amp; CEO  ·  rjain@technijian.com  ·  949.379.8499  ·  technijian.com  ·  technology as a solution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Open Sans" w:cs="Open Sans" w:eastAsia="Open Sans" w:hAnsi="Open Sans"/>
        <w:b/>
        <w:bCs/>
        <w:color w:val="59595B"/>
        <w:sz w:val="16"/>
        <w:szCs w:val="16"/>
      </w:rPr>
      <w:t xml:space="preserve">Technijian</w:t>
    </w:r>
    <w:r>
      <w:rPr>
        <w:rFonts w:ascii="Open Sans" w:cs="Open Sans" w:eastAsia="Open Sans" w:hAnsi="Open Sans"/>
        <w:color w:val="59595B"/>
        <w:sz w:val="16"/>
        <w:szCs w:val="16"/>
      </w:rPr>
      <w:t xml:space="preserve">  ·  technology as a solution  ·  technijian.com  ·  949.379.8499  ·  CONFIDENTIAL  ·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006DB6" w:sz="6"/>
        <w:right w:val="none" w:color="FFFFFF" w:sz="0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1181100" cy="247650"/>
                <wp:effectExtent t="0" r="0" b="0" l="0"/>
                <wp:docPr id="1" name="Technijian Logo" descr="Technijian Logo" title="Techniji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Canusa Hershman  ·  Executive Summary</w:t>
          </w:r>
        </w:p>
      </w:tc>
    </w:tr>
  </w:tbl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Open Sans" w:cs="Open Sans" w:eastAsia="Open Sans" w:hAnsi="Open Sans"/>
      <w:b/>
      <w:bCs/>
      <w:color w:val="006D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103d8b7cd0eed7467432b2205de7bc29f677af.png"/><Relationship Id="rId10" Type="http://schemas.openxmlformats.org/officeDocument/2006/relationships/image" Target="media/66780fd91ef22b646fa8d6f53e5266938820da5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3103d8b7cd0eed7467432b2205de7bc29f677a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Canusa Hershman — Executive Summary</dc:title>
  <dc:creator>Technijian</dc:creator>
  <dc:description>Forwardable executive summary for Canusa Hershman, prepared by Technijian.</dc:description>
  <cp:lastModifiedBy>Un-named</cp:lastModifiedBy>
  <cp:revision>1</cp:revision>
  <dcterms:created xsi:type="dcterms:W3CDTF">2026-06-16T18:43:04.553Z</dcterms:created>
  <dcterms:modified xsi:type="dcterms:W3CDTF">2026-06-16T18:43:04.555Z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