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130" w:hRule="exact"/>
        </w:trPr>
        <w:tc>
          <w:tcPr>
            <w:tcW w:type="dxa" w:w="9360"/>
            <w:tcBorders>
              <w:top w:val="none" w:color="FFFFFF" w:sz="0"/>
              <w:left w:val="none" w:color="FFFFFF" w:sz="0"/>
              <w:bottom w:val="none" w:color="FFFFFF" w:sz="0"/>
              <w:right w:val="none" w:color="FFFFFF" w:sz="0"/>
            </w:tcBorders>
            <w:shd w:fill="006DB6" w:val="clear"/>
          </w:tcPr>
          <w:p>
            <w:r>
              <w:t xml:space="preserve"/>
            </w:r>
          </w:p>
        </w:tc>
      </w:tr>
    </w:tbl>
    <w:p>
      <w:pPr>
        <w:keepNext/>
        <w:spacing w:after="0" w:before="220"/>
      </w:pPr>
      <w:r>
        <w:t xml:space="preserve"/>
      </w:r>
    </w:p>
    <w:p>
      <w:pPr>
        <w:jc w:val="center"/>
      </w:pPr>
      <w:r>
        <w:drawing>
          <wp:inline distT="0" distB="0" distL="0" distR="0">
            <wp:extent cx="2381250" cy="495300"/>
            <wp:effectExtent t="0" r="0" b="0" l="0"/>
            <wp:docPr id="1" name="Technijian 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495300"/>
                    </a:xfrm>
                    <a:prstGeom prst="rect">
                      <a:avLst/>
                    </a:prstGeom>
                  </pic:spPr>
                </pic:pic>
              </a:graphicData>
            </a:graphic>
          </wp:inline>
        </w:drawing>
      </w:r>
    </w:p>
    <w:p>
      <w:pPr>
        <w:keepNext/>
        <w:spacing w:after="0" w:before="200"/>
      </w:pPr>
      <w:r>
        <w:t xml:space="preserve"/>
      </w:r>
    </w:p>
    <w:p>
      <w:pPr>
        <w:spacing w:after="90" w:before="0"/>
        <w:jc w:val="center"/>
      </w:pPr>
      <w:r>
        <w:rPr>
          <w:rFonts w:ascii="Open Sans" w:cs="Open Sans" w:eastAsia="Open Sans" w:hAnsi="Open Sans"/>
          <w:b/>
          <w:bCs/>
          <w:i w:val="false"/>
          <w:iCs w:val="false"/>
          <w:color w:val="F67D4B"/>
          <w:sz w:val="22"/>
          <w:szCs w:val="22"/>
        </w:rPr>
        <w:t xml:space="preserve">EXECUTIVE SUMMARY</w:t>
      </w:r>
    </w:p>
    <w:p>
      <w:pPr>
        <w:spacing w:after="80" w:before="0"/>
        <w:jc w:val="center"/>
      </w:pPr>
      <w:r>
        <w:rPr>
          <w:rFonts w:ascii="Open Sans" w:cs="Open Sans" w:eastAsia="Open Sans" w:hAnsi="Open Sans"/>
          <w:b/>
          <w:bCs/>
          <w:i w:val="false"/>
          <w:iCs w:val="false"/>
          <w:color w:val="1A1A2E"/>
          <w:sz w:val="40"/>
          <w:szCs w:val="40"/>
        </w:rPr>
        <w:t xml:space="preserve">China Auto Group</w:t>
      </w:r>
    </w:p>
    <w:p>
      <w:pPr>
        <w:spacing w:after="60"/>
        <w:jc w:val="center"/>
      </w:pPr>
      <w:r>
        <w:rPr>
          <w:rFonts w:ascii="Open Sans" w:cs="Open Sans" w:eastAsia="Open Sans" w:hAnsi="Open Sans"/>
          <w:i/>
          <w:iCs/>
          <w:color w:val="59595B"/>
          <w:sz w:val="21"/>
          <w:szCs w:val="21"/>
        </w:rPr>
        <w:t xml:space="preserve">AI Growth &amp; Integration — win more accounts, source faster, lower the risk</w:t>
      </w:r>
    </w:p>
    <w:p>
      <w:pPr>
        <w:spacing w:after="170"/>
        <w:jc w:val="center"/>
      </w:pPr>
      <w:r>
        <w:rPr>
          <w:rFonts w:ascii="Open Sans" w:cs="Open Sans" w:eastAsia="Open Sans" w:hAnsi="Open Sans"/>
          <w:color w:val="59595B"/>
          <w:sz w:val="17"/>
          <w:szCs w:val="17"/>
        </w:rPr>
        <w:t xml:space="preserve">Prepared for China Auto Group  ·  June 22, 2026  ·  Confidential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180"/>
              <w:left w:type="dxa" w:w="70"/>
              <w:bottom w:type="dxa" w:w="180"/>
              <w:right w:type="dxa" w:w="70"/>
            </w:tcMar>
            <w:vAlign w:val="center"/>
          </w:tcPr>
          <w:p>
            <w:pPr>
              <w:spacing w:after="30"/>
              <w:jc w:val="center"/>
            </w:pPr>
            <w:r>
              <w:rPr>
                <w:rFonts w:ascii="Open Sans" w:cs="Open Sans" w:eastAsia="Open Sans" w:hAnsi="Open Sans"/>
                <w:b/>
                <w:bCs/>
                <w:color w:val="006DB6"/>
                <w:sz w:val="34"/>
                <w:szCs w:val="34"/>
              </w:rPr>
              <w:t xml:space="preserve">70+ yrs</w:t>
            </w:r>
          </w:p>
          <w:p>
            <w:pPr>
              <w:jc w:val="center"/>
            </w:pPr>
            <w:r>
              <w:rPr>
                <w:rFonts w:ascii="Open Sans" w:cs="Open Sans" w:eastAsia="Open Sans" w:hAnsi="Open Sans"/>
                <w:color w:val="59595B"/>
                <w:sz w:val="15"/>
                <w:szCs w:val="15"/>
              </w:rPr>
              <w:t xml:space="preserve">Combined aftermarket experience (company)</w:t>
            </w:r>
          </w:p>
        </w:tc>
        <w:tc>
          <w:tcPr>
            <w:tcW w:type="dxa" w:w="2340"/>
            <w:tcBorders>
              <w:top w:val="none" w:color="FFFFFF" w:sz="0"/>
              <w:left w:val="none" w:color="FFFFFF" w:sz="0"/>
              <w:bottom w:val="none" w:color="FFFFFF" w:sz="0"/>
              <w:right w:val="none" w:color="FFFFFF" w:sz="0"/>
            </w:tcBorders>
            <w:shd w:fill="F8F9FA" w:val="clear"/>
            <w:tcMar>
              <w:top w:type="dxa" w:w="180"/>
              <w:left w:type="dxa" w:w="70"/>
              <w:bottom w:type="dxa" w:w="180"/>
              <w:right w:type="dxa" w:w="70"/>
            </w:tcMar>
            <w:vAlign w:val="center"/>
          </w:tcPr>
          <w:p>
            <w:pPr>
              <w:spacing w:after="30"/>
              <w:jc w:val="center"/>
            </w:pPr>
            <w:r>
              <w:rPr>
                <w:rFonts w:ascii="Open Sans" w:cs="Open Sans" w:eastAsia="Open Sans" w:hAnsi="Open Sans"/>
                <w:b/>
                <w:bCs/>
                <w:color w:val="F67D4B"/>
                <w:sz w:val="34"/>
                <w:szCs w:val="34"/>
              </w:rPr>
              <w:t xml:space="preserve">25%</w:t>
            </w:r>
          </w:p>
          <w:p>
            <w:pPr>
              <w:jc w:val="center"/>
            </w:pPr>
            <w:r>
              <w:rPr>
                <w:rFonts w:ascii="Open Sans" w:cs="Open Sans" w:eastAsia="Open Sans" w:hAnsi="Open Sans"/>
                <w:color w:val="59595B"/>
                <w:sz w:val="15"/>
                <w:szCs w:val="15"/>
              </w:rPr>
              <w:t xml:space="preserve">U.S. tariff on China auto parts (Sec. 301)</w:t>
            </w:r>
          </w:p>
        </w:tc>
        <w:tc>
          <w:tcPr>
            <w:tcW w:type="dxa" w:w="2340"/>
            <w:tcBorders>
              <w:top w:val="none" w:color="FFFFFF" w:sz="0"/>
              <w:left w:val="none" w:color="FFFFFF" w:sz="0"/>
              <w:bottom w:val="none" w:color="FFFFFF" w:sz="0"/>
              <w:right w:val="none" w:color="FFFFFF" w:sz="0"/>
            </w:tcBorders>
            <w:shd w:fill="F8F9FA" w:val="clear"/>
            <w:tcMar>
              <w:top w:type="dxa" w:w="180"/>
              <w:left w:type="dxa" w:w="70"/>
              <w:bottom w:type="dxa" w:w="180"/>
              <w:right w:type="dxa" w:w="70"/>
            </w:tcMar>
            <w:vAlign w:val="center"/>
          </w:tcPr>
          <w:p>
            <w:pPr>
              <w:spacing w:after="30"/>
              <w:jc w:val="center"/>
            </w:pPr>
            <w:r>
              <w:rPr>
                <w:rFonts w:ascii="Open Sans" w:cs="Open Sans" w:eastAsia="Open Sans" w:hAnsi="Open Sans"/>
                <w:b/>
                <w:bCs/>
                <w:color w:val="1EAAC8"/>
                <w:sz w:val="34"/>
                <w:szCs w:val="34"/>
              </w:rPr>
              <w:t xml:space="preserve">~90%</w:t>
            </w:r>
          </w:p>
          <w:p>
            <w:pPr>
              <w:jc w:val="center"/>
            </w:pPr>
            <w:r>
              <w:rPr>
                <w:rFonts w:ascii="Open Sans" w:cs="Open Sans" w:eastAsia="Open Sans" w:hAnsi="Open Sans"/>
                <w:color w:val="59595B"/>
                <w:sz w:val="15"/>
                <w:szCs w:val="15"/>
              </w:rPr>
              <w:t xml:space="preserve">Of business that is custom development</w:t>
            </w:r>
          </w:p>
        </w:tc>
        <w:tc>
          <w:tcPr>
            <w:tcW w:type="dxa" w:w="2340"/>
            <w:tcBorders>
              <w:top w:val="none" w:color="FFFFFF" w:sz="0"/>
              <w:left w:val="none" w:color="FFFFFF" w:sz="0"/>
              <w:bottom w:val="none" w:color="FFFFFF" w:sz="0"/>
              <w:right w:val="none" w:color="FFFFFF" w:sz="0"/>
            </w:tcBorders>
            <w:shd w:fill="F8F9FA" w:val="clear"/>
            <w:tcMar>
              <w:top w:type="dxa" w:w="180"/>
              <w:left w:type="dxa" w:w="70"/>
              <w:bottom w:type="dxa" w:w="180"/>
              <w:right w:type="dxa" w:w="70"/>
            </w:tcMar>
            <w:vAlign w:val="center"/>
          </w:tcPr>
          <w:p>
            <w:pPr>
              <w:spacing w:after="30"/>
              <w:jc w:val="center"/>
            </w:pPr>
            <w:r>
              <w:rPr>
                <w:rFonts w:ascii="Open Sans" w:cs="Open Sans" w:eastAsia="Open Sans" w:hAnsi="Open Sans"/>
                <w:b/>
                <w:bCs/>
                <w:color w:val="1A1A2E"/>
                <w:sz w:val="34"/>
                <w:szCs w:val="34"/>
              </w:rPr>
              <w:t xml:space="preserve">US·EU·China</w:t>
            </w:r>
          </w:p>
          <w:p>
            <w:pPr>
              <w:jc w:val="center"/>
            </w:pPr>
            <w:r>
              <w:rPr>
                <w:rFonts w:ascii="Open Sans" w:cs="Open Sans" w:eastAsia="Open Sans" w:hAnsi="Open Sans"/>
                <w:color w:val="59595B"/>
                <w:sz w:val="15"/>
                <w:szCs w:val="15"/>
              </w:rPr>
              <w:t xml:space="preserve">Sales &amp; sourcing offices</w:t>
            </w:r>
          </w:p>
        </w:tc>
      </w:tr>
    </w:tbl>
    <w:p>
      <w:pPr>
        <w:keepNext/>
        <w:spacing w:after="0" w:before="150"/>
      </w:pPr>
      <w:r>
        <w:t xml:space="preserve"/>
      </w:r>
    </w:p>
    <w:p>
      <w:pPr>
        <w:keepNext w:val="false"/>
        <w:spacing w:after="120" w:before="0" w:line="318"/>
        <w:jc w:val="both"/>
      </w:pPr>
      <w:r>
        <w:rPr>
          <w:rFonts w:ascii="Open Sans" w:cs="Open Sans" w:eastAsia="Open Sans" w:hAnsi="Open Sans"/>
          <w:b w:val="false"/>
          <w:bCs w:val="false"/>
          <w:i w:val="false"/>
          <w:iCs w:val="false"/>
          <w:color w:val="59595B"/>
          <w:sz w:val="22"/>
          <w:szCs w:val="22"/>
        </w:rPr>
        <w:t xml:space="preserve">China Auto Group — a trade name of S. Kirby &amp; Company, Inc., in Rancho Santa Margarita, California — is a turnkey China-sourcing partner for the automotive industry: it identifies the factory, engineers and samples the part, manages production and quality, clears customs as the U.S. importer of record, finances in U.S. dollars, and delivers “Landed Your Warehouse.” That job — de-risking China sourcing — has never been harder, or more valuable, than in 2026. This summary shows where AI builds on the firm’s real operational base (Acctivate, engineering, a Shanghai quality office) on two fronts, and states only verified facts, deferring every company-specific number to discovery.</w:t>
      </w:r>
    </w:p>
    <w:p>
      <w:pPr>
        <w:spacing w:after="60" w:before="0" w:line="318"/>
        <w:jc w:val="both"/>
      </w:pPr>
      <w:r>
        <w:rPr>
          <w:rFonts w:ascii="Open Sans" w:cs="Open Sans" w:eastAsia="Open Sans" w:hAnsi="Open Sans"/>
          <w:b/>
          <w:bCs/>
          <w:i w:val="false"/>
          <w:iCs w:val="false"/>
          <w:color w:val="1A1A2E"/>
          <w:sz w:val="22"/>
          <w:szCs w:val="22"/>
        </w:rPr>
        <w:t xml:space="preserve">Win more accounts. </w:t>
      </w:r>
      <w:r>
        <w:rPr>
          <w:rFonts w:ascii="Open Sans" w:cs="Open Sans" w:eastAsia="Open Sans" w:hAnsi="Open Sans"/>
          <w:b w:val="false"/>
          <w:bCs w:val="false"/>
          <w:i w:val="false"/>
          <w:iCs w:val="false"/>
          <w:color w:val="59595B"/>
          <w:sz w:val="22"/>
          <w:szCs w:val="22"/>
        </w:rPr>
        <w:t xml:space="preserve">AI authority content makes China Auto Group the cited expert buyers find for sourcing under tariffs and China+1; account and trigger intelligence and faster quotes help win and keep the aftermarket, OE, Tier 1/2, and performance accounts the business runs on.</w:t>
      </w:r>
      <w:r>
        <w:rPr>
          <w:rFonts w:ascii="Open Sans" w:cs="Open Sans" w:eastAsia="Open Sans" w:hAnsi="Open Sans"/>
          <w:b/>
          <w:bCs/>
          <w:i w:val="false"/>
          <w:iCs w:val="false"/>
          <w:color w:val="1A1A2E"/>
          <w:sz w:val="22"/>
          <w:szCs w:val="22"/>
        </w:rPr>
        <w:t xml:space="preserve">  Source faster and lower the risk. </w:t>
      </w:r>
      <w:r>
        <w:rPr>
          <w:rFonts w:ascii="Open Sans" w:cs="Open Sans" w:eastAsia="Open Sans" w:hAnsi="Open Sans"/>
          <w:b w:val="false"/>
          <w:bCs w:val="false"/>
          <w:i w:val="false"/>
          <w:iCs w:val="false"/>
          <w:color w:val="59595B"/>
          <w:sz w:val="22"/>
          <w:szCs w:val="22"/>
        </w:rPr>
        <w:t xml:space="preserve">AI that classifies a part to its tariff code, models landed cost across China, Vietnam, Mexico, and India, drafts quotes and RFQs in minutes, and assembles PPAP and customs paperwork — with a qualified person confirming every classification and quote, and all proprietary data in private, governed systems.</w:t>
      </w:r>
    </w:p>
    <w:p>
      <w:pPr>
        <w:pStyle w:val="Heading2"/>
        <w:keepNext/>
        <w:keepLines/>
        <w:spacing w:after="110" w:before="260"/>
      </w:pPr>
      <w:r>
        <w:rPr>
          <w:rFonts w:ascii="Open Sans" w:cs="Open Sans" w:eastAsia="Open Sans" w:hAnsi="Open Sans"/>
          <w:b/>
          <w:bCs/>
          <w:color w:val="006DB6"/>
          <w:sz w:val="26"/>
          <w:szCs w:val="26"/>
        </w:rPr>
        <w:t xml:space="preserve">What we verified</w:t>
      </w:r>
    </w:p>
    <w:p>
      <w:pPr>
        <w:pStyle w:val="ListParagraph"/>
        <w:numPr>
          <w:ilvl w:val="0"/>
          <w:numId w:val="2"/>
        </w:numPr>
        <w:spacing w:after="70" w:before="30" w:line="296"/>
      </w:pPr>
      <w:r>
        <w:rPr>
          <w:rFonts w:ascii="Open Sans" w:cs="Open Sans" w:eastAsia="Open Sans" w:hAnsi="Open Sans"/>
          <w:b/>
          <w:bCs/>
          <w:color w:val="1A1A2E"/>
          <w:sz w:val="21"/>
          <w:szCs w:val="21"/>
        </w:rPr>
        <w:t xml:space="preserve">A U.S.-accountable, turnkey sourcing partner: </w:t>
      </w:r>
      <w:r>
        <w:rPr>
          <w:rFonts w:ascii="Open Sans" w:cs="Open Sans" w:eastAsia="Open Sans" w:hAnsi="Open Sans"/>
          <w:b w:val="false"/>
          <w:bCs w:val="false"/>
          <w:color w:val="59595B"/>
          <w:sz w:val="21"/>
          <w:szCs w:val="21"/>
        </w:rPr>
        <w:t xml:space="preserve">identify factory, negotiate, engineer, QC, ship, clear customs as importer of record, finance in USD, and warehouse — “we work for our customers, not for factories.”</w:t>
      </w:r>
    </w:p>
    <w:p>
      <w:pPr>
        <w:pStyle w:val="ListParagraph"/>
        <w:numPr>
          <w:ilvl w:val="0"/>
          <w:numId w:val="2"/>
        </w:numPr>
        <w:spacing w:after="70" w:before="30" w:line="296"/>
      </w:pPr>
      <w:r>
        <w:rPr>
          <w:rFonts w:ascii="Open Sans" w:cs="Open Sans" w:eastAsia="Open Sans" w:hAnsi="Open Sans"/>
          <w:b/>
          <w:bCs/>
          <w:color w:val="1A1A2E"/>
          <w:sz w:val="21"/>
          <w:szCs w:val="21"/>
        </w:rPr>
        <w:t xml:space="preserve">A real operational base already: </w:t>
      </w:r>
      <w:r>
        <w:rPr>
          <w:rFonts w:ascii="Open Sans" w:cs="Open Sans" w:eastAsia="Open Sans" w:hAnsi="Open Sans"/>
          <w:b w:val="false"/>
          <w:bCs w:val="false"/>
          <w:color w:val="59595B"/>
          <w:sz w:val="21"/>
          <w:szCs w:val="21"/>
        </w:rPr>
        <w:t xml:space="preserve">Acctivate for inventory and order management, engineering/design software, and a Shanghai office with an IATF-16949-qualified engineer for on-site quality.</w:t>
      </w:r>
    </w:p>
    <w:p>
      <w:pPr>
        <w:pStyle w:val="ListParagraph"/>
        <w:numPr>
          <w:ilvl w:val="0"/>
          <w:numId w:val="2"/>
        </w:numPr>
        <w:spacing w:after="70" w:before="30" w:line="296"/>
      </w:pPr>
      <w:r>
        <w:rPr>
          <w:rFonts w:ascii="Open Sans" w:cs="Open Sans" w:eastAsia="Open Sans" w:hAnsi="Open Sans"/>
          <w:b/>
          <w:bCs/>
          <w:color w:val="1A1A2E"/>
          <w:sz w:val="21"/>
          <w:szCs w:val="21"/>
        </w:rPr>
        <w:t xml:space="preserve">Automotive-specialized, U.S.-domiciled: </w:t>
      </w:r>
      <w:r>
        <w:rPr>
          <w:rFonts w:ascii="Open Sans" w:cs="Open Sans" w:eastAsia="Open Sans" w:hAnsi="Open Sans"/>
          <w:b w:val="false"/>
          <w:bCs w:val="false"/>
          <w:color w:val="59595B"/>
          <w:sz w:val="21"/>
          <w:szCs w:val="21"/>
        </w:rPr>
        <w:t xml:space="preserve">a hard-to-copy corner — generalists are turnkey but not auto experts; marketplaces are cheap but transfer no risk; inspection firms cover one step.</w:t>
      </w:r>
    </w:p>
    <w:p>
      <w:pPr>
        <w:pStyle w:val="ListParagraph"/>
        <w:numPr>
          <w:ilvl w:val="0"/>
          <w:numId w:val="2"/>
        </w:numPr>
        <w:spacing w:after="70" w:before="30" w:line="296"/>
      </w:pPr>
      <w:r>
        <w:rPr>
          <w:rFonts w:ascii="Open Sans" w:cs="Open Sans" w:eastAsia="Open Sans" w:hAnsi="Open Sans"/>
          <w:b/>
          <w:bCs/>
          <w:color w:val="1A1A2E"/>
          <w:sz w:val="21"/>
          <w:szCs w:val="21"/>
        </w:rPr>
        <w:t xml:space="preserve">A quiet digital front door: </w:t>
      </w:r>
      <w:r>
        <w:rPr>
          <w:rFonts w:ascii="Open Sans" w:cs="Open Sans" w:eastAsia="Open Sans" w:hAnsi="Open Sans"/>
          <w:b w:val="false"/>
          <w:bCs w:val="false"/>
          <w:color w:val="59595B"/>
          <w:sz w:val="21"/>
          <w:szCs w:val="21"/>
        </w:rPr>
        <w:t xml:space="preserve">a dated brochure website, no published expertise, and near-invisibility to AI search — exactly when buyers are searching for tariff help. The lowest-cost place to 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50"/>
              <w:left w:type="dxa" w:w="230"/>
              <w:bottom w:type="dxa" w:w="150"/>
              <w:right w:type="dxa" w:w="190"/>
            </w:tcMar>
          </w:tcPr>
          <w:p>
            <w:pPr>
              <w:keepNext/>
              <w:keepLines/>
              <w:spacing w:after="70" w:before="80"/>
            </w:pPr>
            <w:r>
              <w:rPr>
                <w:rFonts w:ascii="Open Sans" w:cs="Open Sans" w:eastAsia="Open Sans" w:hAnsi="Open Sans"/>
                <w:b/>
                <w:bCs/>
                <w:color w:val="1EAAC8"/>
                <w:sz w:val="22"/>
                <w:szCs w:val="22"/>
              </w:rPr>
              <w:t xml:space="preserve">The one idea</w:t>
            </w:r>
          </w:p>
          <w:p>
            <w:pPr>
              <w:keepNext w:val="false"/>
              <w:keepLines/>
              <w:spacing w:after="50" w:before="40" w:line="296"/>
            </w:pPr>
            <w:r>
              <w:rPr>
                <w:rFonts w:ascii="Open Sans" w:cs="Open Sans" w:eastAsia="Open Sans" w:hAnsi="Open Sans"/>
                <w:color w:val="59595B"/>
                <w:sz w:val="20"/>
                <w:szCs w:val="20"/>
              </w:rPr>
              <w:t xml:space="preserve">Sourcing from China is harder every quarter, and the buyers who used to do it themselves increasingly cannot. That makes a U.S.-accountable, automotive-specialized partner who can classify, cost, and qualify across countries faster than anyone else more valuable, not less — and AI is the multiplier on exactly that work. China Auto Group already owns the hard-to-copy corner; AI widens the moat.</w:t>
            </w:r>
          </w:p>
        </w:tc>
      </w:tr>
    </w:tbl>
    <w:p>
      <w:pPr>
        <w:pStyle w:val="Heading2"/>
        <w:keepNext/>
        <w:keepLines/>
        <w:spacing w:after="110" w:before="260"/>
      </w:pPr>
      <w:r>
        <w:rPr>
          <w:rFonts w:ascii="Open Sans" w:cs="Open Sans" w:eastAsia="Open Sans" w:hAnsi="Open Sans"/>
          <w:b/>
          <w:bCs/>
          <w:color w:val="006DB6"/>
          <w:sz w:val="26"/>
          <w:szCs w:val="26"/>
        </w:rPr>
        <w:t xml:space="preserve">The engine</w:t>
      </w:r>
    </w:p>
    <w:p>
      <w:pPr>
        <w:keepNext/>
        <w:spacing w:after="60" w:before="0" w:line="318"/>
        <w:jc w:val="both"/>
      </w:pPr>
      <w:r>
        <w:rPr>
          <w:rFonts w:ascii="Open Sans" w:cs="Open Sans" w:eastAsia="Open Sans" w:hAnsi="Open Sans"/>
          <w:b w:val="false"/>
          <w:bCs w:val="false"/>
          <w:i w:val="false"/>
          <w:iCs w:val="false"/>
          <w:color w:val="59595B"/>
          <w:sz w:val="22"/>
          <w:szCs w:val="22"/>
        </w:rPr>
        <w:t xml:space="preserve">Three columns: win more accounts, classify-cost-and-quote faster with AI, and automate the sourcing back office around Acctivate — each delivered by a specific Technijian service.</w:t>
      </w:r>
    </w:p>
    <w:p>
      <w:pPr>
        <w:keepNext w:val="false"/>
        <w:spacing w:after="60" w:before="100"/>
        <w:jc w:val="center"/>
      </w:pPr>
      <w:r>
        <w:drawing>
          <wp:inline distT="0" distB="0" distL="0" distR="0">
            <wp:extent cx="4095750" cy="2562225"/>
            <wp:effectExtent t="0" r="0" b="0" l="0"/>
            <wp:docPr id="1" name="AI growth and integration engine" descr="AI growth and integration engine" title="AI growth and integration eng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562225"/>
                    </a:xfrm>
                    <a:prstGeom prst="rect">
                      <a:avLst/>
                    </a:prstGeom>
                  </pic:spPr>
                </pic:pic>
              </a:graphicData>
            </a:graphic>
          </wp:inline>
        </w:drawing>
      </w:r>
    </w:p>
    <w:p>
      <w:pPr>
        <w:pStyle w:val="Heading2"/>
        <w:keepNext/>
        <w:keepLines/>
        <w:spacing w:after="110" w:before="260"/>
      </w:pPr>
      <w:r>
        <w:rPr>
          <w:rFonts w:ascii="Open Sans" w:cs="Open Sans" w:eastAsia="Open Sans" w:hAnsi="Open Sans"/>
          <w:b/>
          <w:bCs/>
          <w:color w:val="006DB6"/>
          <w:sz w:val="26"/>
          <w:szCs w:val="26"/>
        </w:rPr>
        <w:t xml:space="preserve">Investment &amp; the path forward</w:t>
      </w:r>
    </w:p>
    <w:p>
      <w:pPr>
        <w:spacing w:after="100" w:before="0" w:line="318"/>
        <w:jc w:val="both"/>
      </w:pPr>
      <w:r>
        <w:rPr>
          <w:rFonts w:ascii="Open Sans" w:cs="Open Sans" w:eastAsia="Open Sans" w:hAnsi="Open Sans"/>
          <w:b/>
          <w:bCs/>
          <w:i w:val="false"/>
          <w:iCs w:val="false"/>
          <w:color w:val="1A1A2E"/>
          <w:sz w:val="22"/>
          <w:szCs w:val="22"/>
        </w:rPr>
        <w:t xml:space="preserve">No invented numbers. </w:t>
      </w:r>
      <w:r>
        <w:rPr>
          <w:rFonts w:ascii="Open Sans" w:cs="Open Sans" w:eastAsia="Open Sans" w:hAnsi="Open Sans"/>
          <w:b w:val="false"/>
          <w:bCs w:val="false"/>
          <w:i w:val="false"/>
          <w:iCs w:val="false"/>
          <w:color w:val="59595B"/>
          <w:sz w:val="22"/>
          <w:szCs w:val="22"/>
        </w:rPr>
        <w:t xml:space="preserve">We price from real, published Technijian service ranges and model ROI only after discovery — on hours recovered per quote and classification, faster turnaround, and landed-cost savings captured, never a guessed revenue figure. The path is land-and-expand: prove one automation — the tariff-classification and landed-cost engine is the highest-conviction first build — then scale across the back office.</w:t>
      </w:r>
    </w:p>
    <w:p>
      <w:pPr>
        <w:keepNext w:val="false"/>
        <w:spacing w:after="110" w:before="0" w:line="318"/>
        <w:jc w:val="both"/>
      </w:pPr>
      <w:r>
        <w:rPr>
          <w:rFonts w:ascii="Open Sans" w:cs="Open Sans" w:eastAsia="Open Sans" w:hAnsi="Open Sans"/>
          <w:b w:val="false"/>
          <w:bCs w:val="false"/>
          <w:i w:val="false"/>
          <w:iCs w:val="false"/>
          <w:color w:val="59595B"/>
          <w:sz w:val="22"/>
          <w:szCs w:val="22"/>
        </w:rPr>
        <w:t xml:space="preserve">The easiest first step is a short discovery call, with no obligation — or a half-day AI Readiness Assessment that maps your workflows and returns a prioritised, costed roadmap. We are in Irvine, about 25 minutes away. The full blueprint ends with a questionnaire that turns this summary into a costed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50"/>
              <w:left w:type="dxa" w:w="230"/>
              <w:bottom w:type="dxa" w:w="150"/>
              <w:right w:type="dxa" w:w="190"/>
            </w:tcMar>
          </w:tcPr>
          <w:p>
            <w:pPr>
              <w:keepNext/>
              <w:keepLines/>
              <w:spacing w:after="70" w:before="80"/>
            </w:pPr>
            <w:r>
              <w:rPr>
                <w:rFonts w:ascii="Open Sans" w:cs="Open Sans" w:eastAsia="Open Sans" w:hAnsi="Open Sans"/>
                <w:b/>
                <w:bCs/>
                <w:color w:val="006DB6"/>
                <w:sz w:val="22"/>
                <w:szCs w:val="22"/>
              </w:rPr>
              <w:t xml:space="preserve">Start the conversation</w:t>
            </w:r>
          </w:p>
          <w:p>
            <w:pPr>
              <w:keepNext w:val="false"/>
              <w:keepLines/>
              <w:spacing w:after="50" w:before="40" w:line="296"/>
            </w:pPr>
            <w:r>
              <w:rPr>
                <w:rFonts w:ascii="Open Sans" w:cs="Open Sans" w:eastAsia="Open Sans" w:hAnsi="Open Sans"/>
                <w:color w:val="59595B"/>
                <w:sz w:val="20"/>
                <w:szCs w:val="20"/>
              </w:rPr>
              <w:t xml:space="preserve">Ravi Jain, Founder &amp; CEO  ·  rjain@technijian.com  ·  +1 949.379.8499  ·  technijian.com  ·  technology as a solution</w:t>
            </w:r>
          </w:p>
        </w:tc>
      </w:tr>
    </w:tbl>
    <w:sectPr>
      <w:headerReference w:type="default" r:id="rId7"/>
      <w:footerReference w:type="default" r:id="rId8"/>
      <w:pgSz w:w="12240" w:h="15840" w:orient="portrait"/>
      <w:pgMar w:top="1700" w:right="1440" w:bottom="132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60"/>
      <w:jc w:val="center"/>
    </w:pPr>
    <w:r>
      <w:rPr>
        <w:rFonts w:ascii="Open Sans" w:cs="Open Sans" w:eastAsia="Open Sans" w:hAnsi="Open Sans"/>
        <w:b/>
        <w:bCs/>
        <w:color w:val="59595B"/>
        <w:sz w:val="16"/>
        <w:szCs w:val="16"/>
      </w:rPr>
      <w:t xml:space="preserve">Technijian</w:t>
    </w:r>
    <w:r>
      <w:rPr>
        <w:rFonts w:ascii="Open Sans" w:cs="Open Sans" w:eastAsia="Open Sans" w:hAnsi="Open Sans"/>
        <w:color w:val="59595B"/>
        <w:sz w:val="16"/>
        <w:szCs w:val="16"/>
      </w:rPr>
      <w:t xml:space="preserve">  ·  technology as a solution  ·  technijian.com  ·  +1 949.379.8499  ·  CONFIDENTIAL  ·  Page </w:t>
    </w:r>
    <w:r>
      <w:rPr>
        <w:rFonts w:ascii="Open Sans" w:cs="Open Sans" w:eastAsia="Open Sans" w:hAnsi="Open Sans"/>
        <w:color w:val="59595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006DB6" w:sz="6"/>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vAlign w:val="center"/>
        </w:tcPr>
        <w:p>
          <w:r>
            <w:drawing>
              <wp:inline distT="0" distB="0" distL="0" distR="0">
                <wp:extent cx="1181100" cy="247650"/>
                <wp:effectExtent t="0" r="0" b="0" l="0"/>
                <wp:docPr id="1" name="Technijian 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81100" cy="24765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vAlign w:val="center"/>
        </w:tcPr>
        <w:p>
          <w:pPr>
            <w:jc w:val="right"/>
          </w:pPr>
          <w:r>
            <w:rPr>
              <w:rFonts w:ascii="Open Sans" w:cs="Open Sans" w:eastAsia="Open Sans" w:hAnsi="Open Sans"/>
              <w:color w:val="59595B"/>
              <w:sz w:val="16"/>
              <w:szCs w:val="16"/>
            </w:rPr>
            <w:t xml:space="preserve">China Auto Group  ·  Executive Summary</w:t>
          </w:r>
        </w:p>
      </w:tc>
    </w:tr>
  </w:tbl>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10" w:before="260"/>
      <w:outlineLvl w:val="1"/>
    </w:pPr>
    <w:rPr>
      <w:rFonts w:ascii="Open Sans" w:cs="Open Sans" w:eastAsia="Open Sans" w:hAnsi="Open Sans"/>
      <w:b/>
      <w:bCs/>
      <w:color w:val="006D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103d8b7cd0eed7467432b2205de7bc29f677af.png"/><Relationship Id="rId10" Type="http://schemas.openxmlformats.org/officeDocument/2006/relationships/image" Target="media/f7ece4fc688c6deadeffefd93587e7b24bf9b5e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3103d8b7cd0eed7467432b2205de7bc29f677a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China Auto Group — Executive Summary</dc:title>
  <dc:creator>Technijian</dc:creator>
  <dc:description>Forwardable executive summary for China Auto Group, prepared by Technijian.</dc:description>
  <cp:lastModifiedBy>Un-named</cp:lastModifiedBy>
  <cp:revision>1</cp:revision>
  <dcterms:created xsi:type="dcterms:W3CDTF">2026-06-22T15:43:06.961Z</dcterms:created>
  <dcterms:modified xsi:type="dcterms:W3CDTF">2026-06-22T15:43:06.962Z</dcterms:modified>
</cp:coreProperties>
</file>

<file path=docProps/custom.xml><?xml version="1.0" encoding="utf-8"?>
<Properties xmlns="http://schemas.openxmlformats.org/officeDocument/2006/custom-properties" xmlns:vt="http://schemas.openxmlformats.org/officeDocument/2006/docPropsVTypes"/>
</file>