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130" w:hRule="exact"/>
        </w:trPr>
        <w:tc>
          <w:tcPr>
            <w:tcW w:type="dxa" w:w="9360"/>
            <w:tcBorders>
              <w:top w:val="none" w:color="FFFFFF" w:sz="0"/>
              <w:left w:val="none" w:color="FFFFFF" w:sz="0"/>
              <w:bottom w:val="none" w:color="FFFFFF" w:sz="0"/>
              <w:right w:val="none" w:color="FFFFFF" w:sz="0"/>
            </w:tcBorders>
            <w:shd w:fill="006DB6" w:val="clear"/>
          </w:tcPr>
          <w:p>
            <w:r>
              <w:t xml:space="preserve"/>
            </w:r>
          </w:p>
        </w:tc>
      </w:tr>
    </w:tbl>
    <w:p>
      <w:pPr>
        <w:keepNext/>
        <w:spacing w:after="0" w:before="220"/>
      </w:pPr>
      <w:r>
        <w:t xml:space="preserve"/>
      </w:r>
    </w:p>
    <w:p>
      <w:pPr>
        <w:jc w:val="center"/>
      </w:pPr>
      <w:r>
        <w:drawing>
          <wp:inline distT="0" distB="0" distL="0" distR="0">
            <wp:extent cx="2381250" cy="495300"/>
            <wp:effectExtent t="0" r="0" b="0" l="0"/>
            <wp:docPr id="1" name="Technijian Logo" descr="Technijian Logo" title="Techniji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381250" cy="495300"/>
                    </a:xfrm>
                    <a:prstGeom prst="rect">
                      <a:avLst/>
                    </a:prstGeom>
                  </pic:spPr>
                </pic:pic>
              </a:graphicData>
            </a:graphic>
          </wp:inline>
        </w:drawing>
      </w:r>
    </w:p>
    <w:p>
      <w:pPr>
        <w:keepNext/>
        <w:spacing w:after="0" w:before="200"/>
      </w:pPr>
      <w:r>
        <w:t xml:space="preserve"/>
      </w:r>
    </w:p>
    <w:p>
      <w:pPr>
        <w:spacing w:after="90" w:before="0"/>
        <w:jc w:val="center"/>
      </w:pPr>
      <w:r>
        <w:rPr>
          <w:rFonts w:ascii="Open Sans" w:cs="Open Sans" w:eastAsia="Open Sans" w:hAnsi="Open Sans"/>
          <w:b/>
          <w:bCs/>
          <w:i w:val="false"/>
          <w:iCs w:val="false"/>
          <w:color w:val="F67D4B"/>
          <w:sz w:val="22"/>
          <w:szCs w:val="22"/>
        </w:rPr>
        <w:t xml:space="preserve">EXECUTIVE SUMMARY</w:t>
      </w:r>
    </w:p>
    <w:p>
      <w:pPr>
        <w:spacing w:after="40" w:before="0"/>
        <w:jc w:val="center"/>
      </w:pPr>
      <w:r>
        <w:rPr>
          <w:rFonts w:ascii="Open Sans" w:cs="Open Sans" w:eastAsia="Open Sans" w:hAnsi="Open Sans"/>
          <w:b/>
          <w:bCs/>
          <w:i w:val="false"/>
          <w:iCs w:val="false"/>
          <w:color w:val="1A1A2E"/>
          <w:sz w:val="42"/>
          <w:szCs w:val="42"/>
        </w:rPr>
        <w:t xml:space="preserve">ROG Services</w:t>
      </w:r>
    </w:p>
    <w:p>
      <w:pPr>
        <w:spacing w:after="80" w:before="0"/>
        <w:jc w:val="center"/>
      </w:pPr>
      <w:r>
        <w:rPr>
          <w:rFonts w:ascii="Open Sans" w:cs="Open Sans" w:eastAsia="Open Sans" w:hAnsi="Open Sans"/>
          <w:b w:val="false"/>
          <w:bCs w:val="false"/>
          <w:i w:val="false"/>
          <w:iCs w:val="false"/>
          <w:color w:val="59595B"/>
          <w:sz w:val="19"/>
          <w:szCs w:val="19"/>
        </w:rPr>
        <w:t xml:space="preserve">Resource Oversight &amp; Guidance Services, Inc.</w:t>
      </w:r>
    </w:p>
    <w:p>
      <w:pPr>
        <w:spacing w:after="60"/>
        <w:jc w:val="center"/>
      </w:pPr>
      <w:r>
        <w:rPr>
          <w:rFonts w:ascii="Open Sans" w:cs="Open Sans" w:eastAsia="Open Sans" w:hAnsi="Open Sans"/>
          <w:i/>
          <w:iCs/>
          <w:color w:val="59595B"/>
          <w:sz w:val="21"/>
          <w:szCs w:val="21"/>
        </w:rPr>
        <w:t xml:space="preserve">Managed &amp; Co-Managed IT, Security &amp; AI — what we verified, and the questions that complete the picture</w:t>
      </w:r>
    </w:p>
    <w:p>
      <w:pPr>
        <w:spacing w:after="180"/>
        <w:jc w:val="center"/>
      </w:pPr>
      <w:r>
        <w:rPr>
          <w:rFonts w:ascii="Open Sans" w:cs="Open Sans" w:eastAsia="Open Sans" w:hAnsi="Open Sans"/>
          <w:color w:val="59595B"/>
          <w:sz w:val="17"/>
          <w:szCs w:val="17"/>
        </w:rPr>
        <w:t xml:space="preserve">Prepared for the leadership of ROG Services  ·  June 22, 2026  ·  Confidential</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F8F9FA" w:val="clear"/>
            <w:tcMar>
              <w:top w:type="dxa" w:w="180"/>
              <w:left w:type="dxa" w:w="90"/>
              <w:bottom w:type="dxa" w:w="180"/>
              <w:right w:type="dxa" w:w="90"/>
            </w:tcMar>
            <w:vAlign w:val="center"/>
          </w:tcPr>
          <w:p>
            <w:pPr>
              <w:spacing w:after="30"/>
              <w:jc w:val="center"/>
            </w:pPr>
            <w:r>
              <w:rPr>
                <w:rFonts w:ascii="Open Sans" w:cs="Open Sans" w:eastAsia="Open Sans" w:hAnsi="Open Sans"/>
                <w:b/>
                <w:bCs/>
                <w:color w:val="006DB6"/>
                <w:sz w:val="40"/>
                <w:szCs w:val="40"/>
              </w:rPr>
              <w:t xml:space="preserve">2,100+</w:t>
            </w:r>
          </w:p>
          <w:p>
            <w:pPr>
              <w:jc w:val="center"/>
            </w:pPr>
            <w:r>
              <w:rPr>
                <w:rFonts w:ascii="Open Sans" w:cs="Open Sans" w:eastAsia="Open Sans" w:hAnsi="Open Sans"/>
                <w:color w:val="59595B"/>
                <w:sz w:val="15"/>
                <w:szCs w:val="15"/>
              </w:rPr>
              <w:t xml:space="preserve">Clients ROG manages (ROG-reported)</w:t>
            </w:r>
          </w:p>
        </w:tc>
        <w:tc>
          <w:tcPr>
            <w:tcW w:type="dxa" w:w="2340"/>
            <w:tcBorders>
              <w:top w:val="none" w:color="FFFFFF" w:sz="0"/>
              <w:left w:val="none" w:color="FFFFFF" w:sz="0"/>
              <w:bottom w:val="none" w:color="FFFFFF" w:sz="0"/>
              <w:right w:val="none" w:color="FFFFFF" w:sz="0"/>
            </w:tcBorders>
            <w:shd w:fill="F8F9FA" w:val="clear"/>
            <w:tcMar>
              <w:top w:type="dxa" w:w="180"/>
              <w:left w:type="dxa" w:w="90"/>
              <w:bottom w:type="dxa" w:w="180"/>
              <w:right w:type="dxa" w:w="90"/>
            </w:tcMar>
            <w:vAlign w:val="center"/>
          </w:tcPr>
          <w:p>
            <w:pPr>
              <w:spacing w:after="30"/>
              <w:jc w:val="center"/>
            </w:pPr>
            <w:r>
              <w:rPr>
                <w:rFonts w:ascii="Open Sans" w:cs="Open Sans" w:eastAsia="Open Sans" w:hAnsi="Open Sans"/>
                <w:b/>
                <w:bCs/>
                <w:color w:val="1EAAC8"/>
                <w:sz w:val="40"/>
                <w:szCs w:val="40"/>
              </w:rPr>
              <w:t xml:space="preserve">7</w:t>
            </w:r>
          </w:p>
          <w:p>
            <w:pPr>
              <w:jc w:val="center"/>
            </w:pPr>
            <w:r>
              <w:rPr>
                <w:rFonts w:ascii="Open Sans" w:cs="Open Sans" w:eastAsia="Open Sans" w:hAnsi="Open Sans"/>
                <w:color w:val="59595B"/>
                <w:sz w:val="15"/>
                <w:szCs w:val="15"/>
              </w:rPr>
              <w:t xml:space="preserve">Offices · California &amp; Montana</w:t>
            </w:r>
          </w:p>
        </w:tc>
        <w:tc>
          <w:tcPr>
            <w:tcW w:type="dxa" w:w="2340"/>
            <w:tcBorders>
              <w:top w:val="none" w:color="FFFFFF" w:sz="0"/>
              <w:left w:val="none" w:color="FFFFFF" w:sz="0"/>
              <w:bottom w:val="none" w:color="FFFFFF" w:sz="0"/>
              <w:right w:val="none" w:color="FFFFFF" w:sz="0"/>
            </w:tcBorders>
            <w:shd w:fill="F8F9FA" w:val="clear"/>
            <w:tcMar>
              <w:top w:type="dxa" w:w="180"/>
              <w:left w:type="dxa" w:w="90"/>
              <w:bottom w:type="dxa" w:w="180"/>
              <w:right w:type="dxa" w:w="90"/>
            </w:tcMar>
            <w:vAlign w:val="center"/>
          </w:tcPr>
          <w:p>
            <w:pPr>
              <w:spacing w:after="30"/>
              <w:jc w:val="center"/>
            </w:pPr>
            <w:r>
              <w:rPr>
                <w:rFonts w:ascii="Open Sans" w:cs="Open Sans" w:eastAsia="Open Sans" w:hAnsi="Open Sans"/>
                <w:b/>
                <w:bCs/>
                <w:color w:val="CC0000"/>
                <w:sz w:val="40"/>
                <w:szCs w:val="40"/>
              </w:rPr>
              <w:t xml:space="preserve">$2.77B</w:t>
            </w:r>
          </w:p>
          <w:p>
            <w:pPr>
              <w:jc w:val="center"/>
            </w:pPr>
            <w:r>
              <w:rPr>
                <w:rFonts w:ascii="Open Sans" w:cs="Open Sans" w:eastAsia="Open Sans" w:hAnsi="Open Sans"/>
                <w:color w:val="59595B"/>
                <w:sz w:val="15"/>
                <w:szCs w:val="15"/>
              </w:rPr>
              <w:t xml:space="preserve">2024 BEC losses (FBI IC3)</w:t>
            </w:r>
          </w:p>
        </w:tc>
        <w:tc>
          <w:tcPr>
            <w:tcW w:type="dxa" w:w="2340"/>
            <w:tcBorders>
              <w:top w:val="none" w:color="FFFFFF" w:sz="0"/>
              <w:left w:val="none" w:color="FFFFFF" w:sz="0"/>
              <w:bottom w:val="none" w:color="FFFFFF" w:sz="0"/>
              <w:right w:val="none" w:color="FFFFFF" w:sz="0"/>
            </w:tcBorders>
            <w:shd w:fill="F8F9FA" w:val="clear"/>
            <w:tcMar>
              <w:top w:type="dxa" w:w="180"/>
              <w:left w:type="dxa" w:w="90"/>
              <w:bottom w:type="dxa" w:w="180"/>
              <w:right w:type="dxa" w:w="90"/>
            </w:tcMar>
            <w:vAlign w:val="center"/>
          </w:tcPr>
          <w:p>
            <w:pPr>
              <w:spacing w:after="30"/>
              <w:jc w:val="center"/>
            </w:pPr>
            <w:r>
              <w:rPr>
                <w:rFonts w:ascii="Open Sans" w:cs="Open Sans" w:eastAsia="Open Sans" w:hAnsi="Open Sans"/>
                <w:b/>
                <w:bCs/>
                <w:color w:val="F67D4B"/>
                <w:sz w:val="40"/>
                <w:szCs w:val="40"/>
              </w:rPr>
              <w:t xml:space="preserve">$3.31M</w:t>
            </w:r>
          </w:p>
          <w:p>
            <w:pPr>
              <w:jc w:val="center"/>
            </w:pPr>
            <w:r>
              <w:rPr>
                <w:rFonts w:ascii="Open Sans" w:cs="Open Sans" w:eastAsia="Open Sans" w:hAnsi="Open Sans"/>
                <w:color w:val="59595B"/>
                <w:sz w:val="15"/>
                <w:szCs w:val="15"/>
              </w:rPr>
              <w:t xml:space="preserve">Avg. breach, orgs &lt;500 staff (IBM)</w:t>
            </w:r>
          </w:p>
        </w:tc>
      </w:tr>
    </w:tbl>
    <w:p>
      <w:pPr>
        <w:keepNext/>
        <w:spacing w:after="0" w:before="160"/>
      </w:pPr>
      <w:r>
        <w:t xml:space="preserve"/>
      </w:r>
    </w:p>
    <w:p>
      <w:pPr>
        <w:spacing w:after="120" w:before="0" w:line="318"/>
        <w:jc w:val="both"/>
      </w:pPr>
      <w:r>
        <w:rPr>
          <w:rFonts w:ascii="Open Sans" w:cs="Open Sans" w:eastAsia="Open Sans" w:hAnsi="Open Sans"/>
          <w:b w:val="false"/>
          <w:bCs w:val="false"/>
          <w:i w:val="false"/>
          <w:iCs w:val="false"/>
          <w:color w:val="59595B"/>
          <w:sz w:val="22"/>
          <w:szCs w:val="22"/>
        </w:rPr>
        <w:t xml:space="preserve">ROG Services Inc. — Resource Oversight &amp; Guidance Services — is a California nonprofit that serves as a Social Security and VA representative payee, managing benefits for adults who cannot manage their own funds. You reached out to Technijian about IT. This summary makes the case on two fronts and hands the specifics back to you — it states only verified public facts and defers every organization-specific number to discovery.</w:t>
      </w:r>
    </w:p>
    <w:p>
      <w:pPr>
        <w:spacing w:after="60" w:before="0" w:line="318"/>
        <w:jc w:val="both"/>
      </w:pPr>
      <w:r>
        <w:rPr>
          <w:rFonts w:ascii="Open Sans" w:cs="Open Sans" w:eastAsia="Open Sans" w:hAnsi="Open Sans"/>
          <w:b/>
          <w:bCs/>
          <w:i w:val="false"/>
          <w:iCs w:val="false"/>
          <w:color w:val="1A1A2E"/>
          <w:sz w:val="22"/>
          <w:szCs w:val="22"/>
        </w:rPr>
        <w:t xml:space="preserve">Protect &amp; run IT well. </w:t>
      </w:r>
      <w:r>
        <w:rPr>
          <w:rFonts w:ascii="Open Sans" w:cs="Open Sans" w:eastAsia="Open Sans" w:hAnsi="Open Sans"/>
          <w:b w:val="false"/>
          <w:bCs w:val="false"/>
          <w:i w:val="false"/>
          <w:iCs w:val="false"/>
          <w:color w:val="59595B"/>
          <w:sz w:val="22"/>
          <w:szCs w:val="22"/>
        </w:rPr>
        <w:t xml:space="preserve">You hold SSNs, bank details, and health information, and you disburse benefit funds — including loading prepaid cards — for vulnerable people across seven offices. That mix of sensitive data and money movement raises the bar, and SSA expressly asks payees to keep documented procedures protecting personal information.</w:t>
      </w:r>
      <w:r>
        <w:rPr>
          <w:rFonts w:ascii="Open Sans" w:cs="Open Sans" w:eastAsia="Open Sans" w:hAnsi="Open Sans"/>
          <w:b/>
          <w:bCs/>
          <w:i w:val="false"/>
          <w:iCs w:val="false"/>
          <w:color w:val="1A1A2E"/>
          <w:sz w:val="22"/>
          <w:szCs w:val="22"/>
        </w:rPr>
        <w:t xml:space="preserve">  Integrate AI. </w:t>
      </w:r>
      <w:r>
        <w:rPr>
          <w:rFonts w:ascii="Open Sans" w:cs="Open Sans" w:eastAsia="Open Sans" w:hAnsi="Open Sans"/>
          <w:b w:val="false"/>
          <w:bCs w:val="false"/>
          <w:i w:val="false"/>
          <w:iCs w:val="false"/>
          <w:color w:val="59595B"/>
          <w:sz w:val="22"/>
          <w:szCs w:val="22"/>
        </w:rPr>
        <w:t xml:space="preserve">The annual SSA/VA accountings, ledger reconciliation, and intake your staff repeat are where AI assists — never near a public tool, and never deciding on its own.</w:t>
      </w:r>
    </w:p>
    <w:p>
      <w:pPr>
        <w:pStyle w:val="Heading2"/>
        <w:keepNext/>
        <w:keepLines/>
        <w:spacing w:after="120" w:before="280"/>
      </w:pPr>
      <w:r>
        <w:rPr>
          <w:rFonts w:ascii="Open Sans" w:cs="Open Sans" w:eastAsia="Open Sans" w:hAnsi="Open Sans"/>
          <w:b/>
          <w:bCs/>
          <w:color w:val="006DB6"/>
          <w:sz w:val="26"/>
          <w:szCs w:val="26"/>
        </w:rPr>
        <w:t xml:space="preserve">What we verified</w:t>
      </w:r>
    </w:p>
    <w:p>
      <w:pPr>
        <w:pStyle w:val="ListParagraph"/>
        <w:numPr>
          <w:ilvl w:val="0"/>
          <w:numId w:val="2"/>
        </w:numPr>
        <w:spacing w:after="70" w:before="30" w:line="296"/>
      </w:pPr>
      <w:r>
        <w:rPr>
          <w:rFonts w:ascii="Open Sans" w:cs="Open Sans" w:eastAsia="Open Sans" w:hAnsi="Open Sans"/>
          <w:b/>
          <w:bCs/>
          <w:color w:val="1A1A2E"/>
          <w:sz w:val="21"/>
          <w:szCs w:val="21"/>
        </w:rPr>
        <w:t xml:space="preserve">Who you are: </w:t>
      </w:r>
      <w:r>
        <w:rPr>
          <w:rFonts w:ascii="Open Sans" w:cs="Open Sans" w:eastAsia="Open Sans" w:hAnsi="Open Sans"/>
          <w:b w:val="false"/>
          <w:bCs w:val="false"/>
          <w:color w:val="59595B"/>
          <w:sz w:val="21"/>
          <w:szCs w:val="21"/>
        </w:rPr>
        <w:t xml:space="preserve">a 501(c)(3) since 2010 (EIN 27-1997250), organizational SSA &amp; VA representative payee, seven offices across California and Montana, Charity Navigator Four-Star, reporting “over 2,100 active clients.”</w:t>
      </w:r>
    </w:p>
    <w:p>
      <w:pPr>
        <w:pStyle w:val="ListParagraph"/>
        <w:numPr>
          <w:ilvl w:val="0"/>
          <w:numId w:val="2"/>
        </w:numPr>
        <w:spacing w:after="70" w:before="30" w:line="296"/>
      </w:pPr>
      <w:r>
        <w:rPr>
          <w:rFonts w:ascii="Open Sans" w:cs="Open Sans" w:eastAsia="Open Sans" w:hAnsi="Open Sans"/>
          <w:b/>
          <w:bCs/>
          <w:color w:val="1A1A2E"/>
          <w:sz w:val="21"/>
          <w:szCs w:val="21"/>
        </w:rPr>
        <w:t xml:space="preserve">What you do: </w:t>
      </w:r>
      <w:r>
        <w:rPr>
          <w:rFonts w:ascii="Open Sans" w:cs="Open Sans" w:eastAsia="Open Sans" w:hAnsi="Open Sans"/>
          <w:b w:val="false"/>
          <w:bCs w:val="false"/>
          <w:color w:val="59595B"/>
          <w:sz w:val="21"/>
          <w:szCs w:val="21"/>
        </w:rPr>
        <w:t xml:space="preserve">receive and disburse benefits into a bonded trust account, load customized allowances onto prepaid Visa® debit cards, pay clients’ bills, and keep per-beneficiary records — a money-movement operation holding highly sensitive data.</w:t>
      </w:r>
    </w:p>
    <w:p>
      <w:pPr>
        <w:pStyle w:val="ListParagraph"/>
        <w:numPr>
          <w:ilvl w:val="0"/>
          <w:numId w:val="2"/>
        </w:numPr>
        <w:spacing w:after="70" w:before="30" w:line="296"/>
      </w:pPr>
      <w:r>
        <w:rPr>
          <w:rFonts w:ascii="Open Sans" w:cs="Open Sans" w:eastAsia="Open Sans" w:hAnsi="Open Sans"/>
          <w:b/>
          <w:bCs/>
          <w:color w:val="1A1A2E"/>
          <w:sz w:val="21"/>
          <w:szCs w:val="21"/>
        </w:rPr>
        <w:t xml:space="preserve">What you must run: </w:t>
      </w:r>
      <w:r>
        <w:rPr>
          <w:rFonts w:ascii="Open Sans" w:cs="Open Sans" w:eastAsia="Open Sans" w:hAnsi="Open Sans"/>
          <w:b w:val="false"/>
          <w:bCs w:val="false"/>
          <w:color w:val="59595B"/>
          <w:sz w:val="21"/>
          <w:szCs w:val="21"/>
        </w:rPr>
        <w:t xml:space="preserve">annual SSA (SSA-623) and VA (21P-4706b) accountings, two-year record retention, per-beneficiary ledgers, and records producible for SSA and VA reviews.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F67D4B"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50"/>
              <w:left w:type="dxa" w:w="230"/>
              <w:bottom w:type="dxa" w:w="150"/>
              <w:right w:type="dxa" w:w="190"/>
            </w:tcMar>
          </w:tcPr>
          <w:p>
            <w:pPr>
              <w:keepNext/>
              <w:keepLines/>
              <w:spacing w:after="70" w:before="80"/>
            </w:pPr>
            <w:r>
              <w:rPr>
                <w:rFonts w:ascii="Open Sans" w:cs="Open Sans" w:eastAsia="Open Sans" w:hAnsi="Open Sans"/>
                <w:b/>
                <w:bCs/>
                <w:color w:val="F67D4B"/>
                <w:sz w:val="22"/>
                <w:szCs w:val="22"/>
              </w:rPr>
              <w:t xml:space="preserve">What we did NOT assume</w:t>
            </w:r>
          </w:p>
          <w:p>
            <w:pPr>
              <w:keepNext w:val="false"/>
              <w:keepLines/>
              <w:spacing w:after="50" w:before="40" w:line="296"/>
            </w:pPr>
            <w:r>
              <w:rPr>
                <w:rFonts w:ascii="Open Sans" w:cs="Open Sans" w:eastAsia="Open Sans" w:hAnsi="Open Sans"/>
                <w:color w:val="59595B"/>
                <w:sz w:val="20"/>
                <w:szCs w:val="20"/>
              </w:rPr>
              <w:t xml:space="preserve">Your public site discloses no IT details, so we have guessed none — not who supports your IT, Microsoft 365 vs Google, endpoint counts, security tooling, or backup design. Those are open questions in the full brief, answered by your team or a free Nexus Assess.</w:t>
            </w:r>
          </w:p>
        </w:tc>
      </w:tr>
    </w:tbl>
    <w:p>
      <w:pPr>
        <w:pStyle w:val="Heading2"/>
        <w:keepNext/>
        <w:keepLines/>
        <w:spacing w:after="120" w:before="280"/>
      </w:pPr>
      <w:r>
        <w:rPr>
          <w:rFonts w:ascii="Open Sans" w:cs="Open Sans" w:eastAsia="Open Sans" w:hAnsi="Open Sans"/>
          <w:b/>
          <w:bCs/>
          <w:color w:val="006DB6"/>
          <w:sz w:val="26"/>
          <w:szCs w:val="26"/>
        </w:rPr>
        <w:t xml:space="preserve">Why it matters now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rPr>
          <w:tblHeader/>
        </w:trPr>
        <w:tc>
          <w:tcPr>
            <w:tcW w:type="dxa" w:w="2808"/>
            <w:tcBorders>
              <w:top w:val="single" w:color="E9ECEF" w:sz="4"/>
              <w:left w:val="single" w:color="E9ECEF" w:sz="4"/>
              <w:bottom w:val="single" w:color="E9ECEF" w:sz="4"/>
              <w:right w:val="single" w:color="E9ECEF" w:sz="4"/>
            </w:tcBorders>
            <w:shd w:fill="006DB6" w:val="clear"/>
            <w:tcMar>
              <w:top w:type="dxa" w:w="100"/>
              <w:left w:type="dxa" w:w="120"/>
              <w:bottom w:type="dxa" w:w="100"/>
              <w:right w:type="dxa" w:w="120"/>
            </w:tcMar>
            <w:vAlign w:val="center"/>
          </w:tcPr>
          <w:p>
            <w:r>
              <w:rPr>
                <w:rFonts w:ascii="Open Sans" w:cs="Open Sans" w:eastAsia="Open Sans" w:hAnsi="Open Sans"/>
                <w:b/>
                <w:bCs/>
                <w:color w:val="FFFFFF"/>
                <w:sz w:val="18"/>
                <w:szCs w:val="18"/>
              </w:rPr>
              <w:t xml:space="preserve">Driver</w:t>
            </w:r>
          </w:p>
        </w:tc>
        <w:tc>
          <w:tcPr>
            <w:tcW w:type="dxa" w:w="6552"/>
            <w:tcBorders>
              <w:top w:val="single" w:color="E9ECEF" w:sz="4"/>
              <w:left w:val="single" w:color="E9ECEF" w:sz="4"/>
              <w:bottom w:val="single" w:color="E9ECEF" w:sz="4"/>
              <w:right w:val="single" w:color="E9ECEF" w:sz="4"/>
            </w:tcBorders>
            <w:shd w:fill="006DB6" w:val="clear"/>
            <w:tcMar>
              <w:top w:type="dxa" w:w="100"/>
              <w:left w:type="dxa" w:w="120"/>
              <w:bottom w:type="dxa" w:w="100"/>
              <w:right w:type="dxa" w:w="120"/>
            </w:tcMar>
            <w:vAlign w:val="center"/>
          </w:tcPr>
          <w:p>
            <w:r>
              <w:rPr>
                <w:rFonts w:ascii="Open Sans" w:cs="Open Sans" w:eastAsia="Open Sans" w:hAnsi="Open Sans"/>
                <w:b/>
                <w:bCs/>
                <w:color w:val="FFFFFF"/>
                <w:sz w:val="18"/>
                <w:szCs w:val="18"/>
              </w:rPr>
              <w:t xml:space="preserve">Why it raises the bar</w:t>
            </w:r>
          </w:p>
        </w:tc>
      </w:tr>
      <w:tr>
        <w:trPr>
          <w:cantSplit/>
        </w:trPr>
        <w:tc>
          <w:tcPr>
            <w:tcW w:type="dxa" w:w="2808"/>
            <w:tcBorders>
              <w:top w:val="single" w:color="E9ECEF" w:sz="4"/>
              <w:left w:val="single" w:color="E9ECEF" w:sz="4"/>
              <w:bottom w:val="single" w:color="E9ECEF" w:sz="4"/>
              <w:right w:val="single" w:color="E9ECEF" w:sz="4"/>
            </w:tcBorders>
            <w:shd w:fill="FFFFFF" w:val="clear"/>
            <w:tcMar>
              <w:top w:type="dxa" w:w="80"/>
              <w:left w:type="dxa" w:w="120"/>
              <w:bottom w:type="dxa" w:w="80"/>
              <w:right w:type="dxa" w:w="120"/>
            </w:tcMar>
            <w:vAlign w:val="top"/>
          </w:tcPr>
          <w:p>
            <w:pPr>
              <w:spacing w:after="20" w:line="272"/>
            </w:pPr>
            <w:r>
              <w:rPr>
                <w:rFonts w:ascii="Open Sans" w:cs="Open Sans" w:eastAsia="Open Sans" w:hAnsi="Open Sans"/>
                <w:b/>
                <w:bCs/>
                <w:color w:val="006DB6"/>
                <w:sz w:val="18"/>
                <w:szCs w:val="18"/>
              </w:rPr>
              <w:t xml:space="preserve">You move money</w:t>
            </w:r>
          </w:p>
        </w:tc>
        <w:tc>
          <w:tcPr>
            <w:tcW w:type="dxa" w:w="6552"/>
            <w:tcBorders>
              <w:top w:val="single" w:color="E9ECEF" w:sz="4"/>
              <w:left w:val="single" w:color="E9ECEF" w:sz="4"/>
              <w:bottom w:val="single" w:color="E9ECEF" w:sz="4"/>
              <w:right w:val="single" w:color="E9ECEF" w:sz="4"/>
            </w:tcBorders>
            <w:shd w:fill="FFFFFF" w:val="clear"/>
            <w:tcMar>
              <w:top w:type="dxa" w:w="80"/>
              <w:left w:type="dxa" w:w="120"/>
              <w:bottom w:type="dxa" w:w="80"/>
              <w:right w:type="dxa" w:w="120"/>
            </w:tcMar>
            <w:vAlign w:val="top"/>
          </w:tcPr>
          <w:p>
            <w:pPr>
              <w:spacing w:after="20" w:line="272"/>
            </w:pPr>
            <w:r>
              <w:rPr>
                <w:rFonts w:ascii="Open Sans" w:cs="Open Sans" w:eastAsia="Open Sans" w:hAnsi="Open Sans"/>
                <w:b w:val="false"/>
                <w:bCs w:val="false"/>
                <w:color w:val="59595B"/>
                <w:sz w:val="18"/>
                <w:szCs w:val="18"/>
              </w:rPr>
              <w:t xml:space="preserve">Business email compromise — redirecting payments, often onto prepaid cards — was the #2 cybercrime by dollar loss in 2024 ($2.77B, FBI IC3). It targets the exact workflow a payee runs.</w:t>
            </w:r>
          </w:p>
        </w:tc>
      </w:tr>
      <w:tr>
        <w:trPr>
          <w:cantSplit/>
        </w:trPr>
        <w:tc>
          <w:tcPr>
            <w:tcW w:type="dxa" w:w="2808"/>
            <w:tcBorders>
              <w:top w:val="single" w:color="E9ECEF" w:sz="4"/>
              <w:left w:val="single" w:color="E9ECEF" w:sz="4"/>
              <w:bottom w:val="single" w:color="E9ECEF" w:sz="4"/>
              <w:right w:val="single" w:color="E9ECEF" w:sz="4"/>
            </w:tcBorders>
            <w:shd w:fill="F8F9FA" w:val="clear"/>
            <w:tcMar>
              <w:top w:type="dxa" w:w="80"/>
              <w:left w:type="dxa" w:w="120"/>
              <w:bottom w:type="dxa" w:w="80"/>
              <w:right w:type="dxa" w:w="120"/>
            </w:tcMar>
            <w:vAlign w:val="top"/>
          </w:tcPr>
          <w:p>
            <w:pPr>
              <w:spacing w:after="20" w:line="272"/>
            </w:pPr>
            <w:r>
              <w:rPr>
                <w:rFonts w:ascii="Open Sans" w:cs="Open Sans" w:eastAsia="Open Sans" w:hAnsi="Open Sans"/>
                <w:b/>
                <w:bCs/>
                <w:color w:val="006DB6"/>
                <w:sz w:val="18"/>
                <w:szCs w:val="18"/>
              </w:rPr>
              <w:t xml:space="preserve">SSA safeguarding duty</w:t>
            </w:r>
          </w:p>
        </w:tc>
        <w:tc>
          <w:tcPr>
            <w:tcW w:type="dxa" w:w="6552"/>
            <w:tcBorders>
              <w:top w:val="single" w:color="E9ECEF" w:sz="4"/>
              <w:left w:val="single" w:color="E9ECEF" w:sz="4"/>
              <w:bottom w:val="single" w:color="E9ECEF" w:sz="4"/>
              <w:right w:val="single" w:color="E9ECEF" w:sz="4"/>
            </w:tcBorders>
            <w:shd w:fill="F8F9FA" w:val="clear"/>
            <w:tcMar>
              <w:top w:type="dxa" w:w="80"/>
              <w:left w:type="dxa" w:w="120"/>
              <w:bottom w:type="dxa" w:w="80"/>
              <w:right w:type="dxa" w:w="120"/>
            </w:tcMar>
            <w:vAlign w:val="top"/>
          </w:tcPr>
          <w:p>
            <w:pPr>
              <w:spacing w:after="20" w:line="272"/>
            </w:pPr>
            <w:r>
              <w:rPr>
                <w:rFonts w:ascii="Open Sans" w:cs="Open Sans" w:eastAsia="Open Sans" w:hAnsi="Open Sans"/>
                <w:b w:val="false"/>
                <w:bCs w:val="false"/>
                <w:color w:val="59595B"/>
                <w:sz w:val="18"/>
                <w:szCs w:val="18"/>
              </w:rPr>
              <w:t xml:space="preserve">SSA asks payees to keep documented procedures protecting beneficiary PII and to apply role-based access — a real expectation, not our opinion.</w:t>
            </w:r>
          </w:p>
        </w:tc>
      </w:tr>
      <w:tr>
        <w:trPr>
          <w:cantSplit/>
        </w:trPr>
        <w:tc>
          <w:tcPr>
            <w:tcW w:type="dxa" w:w="2808"/>
            <w:tcBorders>
              <w:top w:val="single" w:color="E9ECEF" w:sz="4"/>
              <w:left w:val="single" w:color="E9ECEF" w:sz="4"/>
              <w:bottom w:val="single" w:color="E9ECEF" w:sz="4"/>
              <w:right w:val="single" w:color="E9ECEF" w:sz="4"/>
            </w:tcBorders>
            <w:shd w:fill="FFFFFF" w:val="clear"/>
            <w:tcMar>
              <w:top w:type="dxa" w:w="80"/>
              <w:left w:type="dxa" w:w="120"/>
              <w:bottom w:type="dxa" w:w="80"/>
              <w:right w:type="dxa" w:w="120"/>
            </w:tcMar>
            <w:vAlign w:val="top"/>
          </w:tcPr>
          <w:p>
            <w:pPr>
              <w:spacing w:after="20" w:line="272"/>
            </w:pPr>
            <w:r>
              <w:rPr>
                <w:rFonts w:ascii="Open Sans" w:cs="Open Sans" w:eastAsia="Open Sans" w:hAnsi="Open Sans"/>
                <w:b/>
                <w:bCs/>
                <w:color w:val="006DB6"/>
                <w:sz w:val="18"/>
                <w:szCs w:val="18"/>
              </w:rPr>
              <w:t xml:space="preserve">A targeted population</w:t>
            </w:r>
          </w:p>
        </w:tc>
        <w:tc>
          <w:tcPr>
            <w:tcW w:type="dxa" w:w="6552"/>
            <w:tcBorders>
              <w:top w:val="single" w:color="E9ECEF" w:sz="4"/>
              <w:left w:val="single" w:color="E9ECEF" w:sz="4"/>
              <w:bottom w:val="single" w:color="E9ECEF" w:sz="4"/>
              <w:right w:val="single" w:color="E9ECEF" w:sz="4"/>
            </w:tcBorders>
            <w:shd w:fill="FFFFFF" w:val="clear"/>
            <w:tcMar>
              <w:top w:type="dxa" w:w="80"/>
              <w:left w:type="dxa" w:w="120"/>
              <w:bottom w:type="dxa" w:w="80"/>
              <w:right w:type="dxa" w:w="120"/>
            </w:tcMar>
            <w:vAlign w:val="top"/>
          </w:tcPr>
          <w:p>
            <w:pPr>
              <w:spacing w:after="20" w:line="272"/>
            </w:pPr>
            <w:r>
              <w:rPr>
                <w:rFonts w:ascii="Open Sans" w:cs="Open Sans" w:eastAsia="Open Sans" w:hAnsi="Open Sans"/>
                <w:b w:val="false"/>
                <w:bCs w:val="false"/>
                <w:color w:val="59595B"/>
                <w:sz w:val="18"/>
                <w:szCs w:val="18"/>
              </w:rPr>
              <w:t xml:space="preserve">Americans 60+ reported $4.89B in losses to the FBI in 2024; GAO calls organizational-payee beneficiaries “among the most vulnerable.”</w:t>
            </w:r>
          </w:p>
        </w:tc>
      </w:tr>
      <w:tr>
        <w:trPr>
          <w:cantSplit/>
        </w:trPr>
        <w:tc>
          <w:tcPr>
            <w:tcW w:type="dxa" w:w="2808"/>
            <w:tcBorders>
              <w:top w:val="single" w:color="E9ECEF" w:sz="4"/>
              <w:left w:val="single" w:color="E9ECEF" w:sz="4"/>
              <w:bottom w:val="single" w:color="E9ECEF" w:sz="4"/>
              <w:right w:val="single" w:color="E9ECEF" w:sz="4"/>
            </w:tcBorders>
            <w:shd w:fill="F8F9FA" w:val="clear"/>
            <w:tcMar>
              <w:top w:type="dxa" w:w="80"/>
              <w:left w:type="dxa" w:w="120"/>
              <w:bottom w:type="dxa" w:w="80"/>
              <w:right w:type="dxa" w:w="120"/>
            </w:tcMar>
            <w:vAlign w:val="top"/>
          </w:tcPr>
          <w:p>
            <w:pPr>
              <w:spacing w:after="20" w:line="272"/>
            </w:pPr>
            <w:r>
              <w:rPr>
                <w:rFonts w:ascii="Open Sans" w:cs="Open Sans" w:eastAsia="Open Sans" w:hAnsi="Open Sans"/>
                <w:b/>
                <w:bCs/>
                <w:color w:val="006DB6"/>
                <w:sz w:val="18"/>
                <w:szCs w:val="18"/>
              </w:rPr>
              <w:t xml:space="preserve">Honest open questions</w:t>
            </w:r>
          </w:p>
        </w:tc>
        <w:tc>
          <w:tcPr>
            <w:tcW w:type="dxa" w:w="6552"/>
            <w:tcBorders>
              <w:top w:val="single" w:color="E9ECEF" w:sz="4"/>
              <w:left w:val="single" w:color="E9ECEF" w:sz="4"/>
              <w:bottom w:val="single" w:color="E9ECEF" w:sz="4"/>
              <w:right w:val="single" w:color="E9ECEF" w:sz="4"/>
            </w:tcBorders>
            <w:shd w:fill="F8F9FA" w:val="clear"/>
            <w:tcMar>
              <w:top w:type="dxa" w:w="80"/>
              <w:left w:type="dxa" w:w="120"/>
              <w:bottom w:type="dxa" w:w="80"/>
              <w:right w:type="dxa" w:w="120"/>
            </w:tcMar>
            <w:vAlign w:val="top"/>
          </w:tcPr>
          <w:p>
            <w:pPr>
              <w:spacing w:after="20" w:line="272"/>
            </w:pPr>
            <w:r>
              <w:rPr>
                <w:rFonts w:ascii="Open Sans" w:cs="Open Sans" w:eastAsia="Open Sans" w:hAnsi="Open Sans"/>
                <w:b w:val="false"/>
                <w:bCs w:val="false"/>
                <w:color w:val="59595B"/>
                <w:sz w:val="18"/>
                <w:szCs w:val="18"/>
              </w:rPr>
              <w:t xml:space="preserve">Whether HIPAA, GLBA, or the CCPA reach a payee nonprofit are genuine legal questions — we flag them for your counsel rather than asserting them.</w:t>
            </w:r>
          </w:p>
        </w:tc>
      </w:tr>
    </w:tbl>
    <w:p>
      <w:pPr>
        <w:keepNext/>
        <w:spacing w:after="0" w:before="120"/>
      </w:pPr>
      <w:r>
        <w:t xml:space="preserve"/>
      </w:r>
    </w:p>
    <w:p>
      <w:pPr>
        <w:pStyle w:val="Heading2"/>
        <w:keepNext/>
        <w:keepLines/>
        <w:spacing w:after="120" w:before="280"/>
      </w:pPr>
      <w:r>
        <w:rPr>
          <w:rFonts w:ascii="Open Sans" w:cs="Open Sans" w:eastAsia="Open Sans" w:hAnsi="Open Sans"/>
          <w:b/>
          <w:bCs/>
          <w:color w:val="006DB6"/>
          <w:sz w:val="26"/>
          <w:szCs w:val="26"/>
        </w:rPr>
        <w:t xml:space="preserve">What a partnership looks like — and what it costs</w:t>
      </w:r>
    </w:p>
    <w:p>
      <w:pPr>
        <w:spacing w:after="100" w:before="0" w:line="318"/>
        <w:jc w:val="both"/>
      </w:pPr>
      <w:r>
        <w:rPr>
          <w:rFonts w:ascii="Open Sans" w:cs="Open Sans" w:eastAsia="Open Sans" w:hAnsi="Open Sans"/>
          <w:b/>
          <w:bCs/>
          <w:i w:val="false"/>
          <w:iCs w:val="false"/>
          <w:color w:val="1A1A2E"/>
          <w:sz w:val="22"/>
          <w:szCs w:val="22"/>
        </w:rPr>
        <w:t xml:space="preserve">Managed or co-managed — your call. </w:t>
      </w:r>
      <w:r>
        <w:rPr>
          <w:rFonts w:ascii="Open Sans" w:cs="Open Sans" w:eastAsia="Open Sans" w:hAnsi="Open Sans"/>
          <w:b w:val="false"/>
          <w:bCs w:val="false"/>
          <w:i w:val="false"/>
          <w:iCs w:val="false"/>
          <w:color w:val="59595B"/>
          <w:sz w:val="22"/>
          <w:szCs w:val="22"/>
        </w:rPr>
        <w:t xml:space="preserve">If no one really owns IT today, we run it; if you have an internal person or outside shop, we augment them. Either way you keep control and gain a named, security-first Technijian pod plus the 24/7 monitoring, email- and payment-fraud defense, backup, and audit-evidence support a small multi-site team cannot sustain alone. On the AI side, we apply assistive automation to the work you already repeat — kept in private, governed deployments.</w:t>
      </w:r>
    </w:p>
    <w:p>
      <w:pPr>
        <w:spacing w:after="60" w:before="0" w:line="318"/>
        <w:jc w:val="both"/>
      </w:pPr>
      <w:r>
        <w:rPr>
          <w:rFonts w:ascii="Open Sans" w:cs="Open Sans" w:eastAsia="Open Sans" w:hAnsi="Open Sans"/>
          <w:b/>
          <w:bCs/>
          <w:i w:val="false"/>
          <w:iCs w:val="false"/>
          <w:color w:val="1A1A2E"/>
          <w:sz w:val="22"/>
          <w:szCs w:val="22"/>
        </w:rPr>
        <w:t xml:space="preserve">Nonprofit-first, no invented numbers. </w:t>
      </w:r>
      <w:r>
        <w:rPr>
          <w:rFonts w:ascii="Open Sans" w:cs="Open Sans" w:eastAsia="Open Sans" w:hAnsi="Open Sans"/>
          <w:b w:val="false"/>
          <w:bCs w:val="false"/>
          <w:i w:val="false"/>
          <w:iCs w:val="false"/>
          <w:color w:val="59595B"/>
          <w:sz w:val="22"/>
          <w:szCs w:val="22"/>
        </w:rPr>
        <w:t xml:space="preserve">We lead with the programs that lower your cost — Microsoft 365 nonprofit (the Business Premium security tier at about $5.50/user/mo), TechSoup, and other 501(c)(3) offers — then apply market-typical ranges only for context, never as a quote. Your real figure is scoped after a free assessment.</w:t>
      </w:r>
    </w:p>
    <w:p>
      <w:pPr>
        <w:pStyle w:val="Heading2"/>
        <w:keepNext/>
        <w:keepLines/>
        <w:spacing w:after="120" w:before="280"/>
      </w:pPr>
      <w:r>
        <w:rPr>
          <w:rFonts w:ascii="Open Sans" w:cs="Open Sans" w:eastAsia="Open Sans" w:hAnsi="Open Sans"/>
          <w:b/>
          <w:bCs/>
          <w:color w:val="006DB6"/>
          <w:sz w:val="26"/>
          <w:szCs w:val="26"/>
        </w:rPr>
        <w:t xml:space="preserve">The next step — yours to keep</w:t>
      </w:r>
    </w:p>
    <w:p>
      <w:pPr>
        <w:spacing w:after="110" w:before="0" w:line="318"/>
        <w:jc w:val="both"/>
      </w:pPr>
      <w:r>
        <w:rPr>
          <w:rFonts w:ascii="Open Sans" w:cs="Open Sans" w:eastAsia="Open Sans" w:hAnsi="Open Sans"/>
          <w:b w:val="false"/>
          <w:bCs w:val="false"/>
          <w:i w:val="false"/>
          <w:iCs w:val="false"/>
          <w:color w:val="59595B"/>
          <w:sz w:val="22"/>
          <w:szCs w:val="22"/>
        </w:rPr>
        <w:t xml:space="preserve">Book a free Nexus Assess: an internal and external vulnerability scan, a dark-web credential check, and a Microsoft 365 / Google Workspace security review, returned as a prioritized roadmap mapped to your SSA/VA safeguarding duties within about ten business days — yours to keep, no contract, no obligation. It answers most of the open questions with hard data and turns this summary into a costed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006DB6"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50"/>
              <w:left w:type="dxa" w:w="230"/>
              <w:bottom w:type="dxa" w:w="150"/>
              <w:right w:type="dxa" w:w="190"/>
            </w:tcMar>
          </w:tcPr>
          <w:p>
            <w:pPr>
              <w:keepNext/>
              <w:keepLines/>
              <w:spacing w:after="70" w:before="80"/>
            </w:pPr>
            <w:r>
              <w:rPr>
                <w:rFonts w:ascii="Open Sans" w:cs="Open Sans" w:eastAsia="Open Sans" w:hAnsi="Open Sans"/>
                <w:b/>
                <w:bCs/>
                <w:color w:val="006DB6"/>
                <w:sz w:val="22"/>
                <w:szCs w:val="22"/>
              </w:rPr>
              <w:t xml:space="preserve">Want the detail?</w:t>
            </w:r>
          </w:p>
          <w:p>
            <w:pPr>
              <w:keepNext/>
              <w:keepLines/>
              <w:spacing w:after="50" w:before="40" w:line="296"/>
            </w:pPr>
            <w:r>
              <w:rPr>
                <w:rFonts w:ascii="Open Sans" w:cs="Open Sans" w:eastAsia="Open Sans" w:hAnsi="Open Sans"/>
                <w:color w:val="59595B"/>
                <w:sz w:val="20"/>
                <w:szCs w:val="20"/>
              </w:rPr>
              <w:t xml:space="preserve">The full brief expands every point above and ends with a structured questionnaire — “Questions to Complete the Analysis” — covering your environment, security, fiduciary records, operations, and roadmap. Answer those, or let the assessment measure them.</w:t>
            </w:r>
          </w:p>
          <w:p>
            <w:pPr>
              <w:keepNext w:val="false"/>
              <w:keepLines/>
              <w:spacing w:after="50" w:before="40" w:line="296"/>
            </w:pPr>
            <w:r>
              <w:rPr>
                <w:rFonts w:ascii="Open Sans" w:cs="Open Sans" w:eastAsia="Open Sans" w:hAnsi="Open Sans"/>
                <w:color w:val="59595B"/>
                <w:sz w:val="20"/>
                <w:szCs w:val="20"/>
              </w:rPr>
              <w:t xml:space="preserve">Ravi Jain, Founder &amp; CEO  ·  rjain@technijian.com  ·  949.379.8499  ·  technijian.com  ·  technology as a solution</w:t>
            </w:r>
          </w:p>
        </w:tc>
      </w:tr>
    </w:tbl>
    <w:sectPr>
      <w:headerReference w:type="default" r:id="rId7"/>
      <w:footerReference w:type="default" r:id="rId8"/>
      <w:pgSz w:w="12240" w:h="15840" w:orient="portrait"/>
      <w:pgMar w:top="1700" w:right="1440" w:bottom="132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60"/>
      <w:jc w:val="center"/>
    </w:pPr>
    <w:r>
      <w:rPr>
        <w:rFonts w:ascii="Open Sans" w:cs="Open Sans" w:eastAsia="Open Sans" w:hAnsi="Open Sans"/>
        <w:b/>
        <w:bCs/>
        <w:color w:val="59595B"/>
        <w:sz w:val="16"/>
        <w:szCs w:val="16"/>
      </w:rPr>
      <w:t xml:space="preserve">Technijian</w:t>
    </w:r>
    <w:r>
      <w:rPr>
        <w:rFonts w:ascii="Open Sans" w:cs="Open Sans" w:eastAsia="Open Sans" w:hAnsi="Open Sans"/>
        <w:color w:val="59595B"/>
        <w:sz w:val="16"/>
        <w:szCs w:val="16"/>
      </w:rPr>
      <w:t xml:space="preserve">  ·  technology as a solution  ·  technijian.com  ·  949.379.8499  ·  CONFIDENTIAL  ·  Page </w:t>
    </w:r>
    <w:r>
      <w:rPr>
        <w:rFonts w:ascii="Open Sans" w:cs="Open Sans" w:eastAsia="Open Sans" w:hAnsi="Open Sans"/>
        <w:color w:val="59595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color="FFFFFF" w:sz="0"/>
        <w:left w:val="none" w:color="FFFFFF" w:sz="0"/>
        <w:bottom w:val="single" w:color="006DB6" w:sz="6"/>
        <w:right w:val="none" w:color="FFFFFF" w:sz="0"/>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vAlign w:val="center"/>
        </w:tcPr>
        <w:p>
          <w:r>
            <w:drawing>
              <wp:inline distT="0" distB="0" distL="0" distR="0">
                <wp:extent cx="1181100" cy="247650"/>
                <wp:effectExtent t="0" r="0" b="0" l="0"/>
                <wp:docPr id="1" name="Technijian Logo" descr="Technijian Logo" title="Techniji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181100" cy="247650"/>
                        </a:xfrm>
                        <a:prstGeom prst="rect">
                          <a:avLst/>
                        </a:prstGeom>
                      </pic:spPr>
                    </pic:pic>
                  </a:graphicData>
                </a:graphic>
              </wp:inline>
            </w:drawing>
          </w:r>
        </w:p>
      </w:tc>
      <w:tc>
        <w:tcPr>
          <w:tcW w:type="dxa" w:w="4680"/>
          <w:tcBorders>
            <w:top w:val="none" w:color="FFFFFF" w:sz="0"/>
            <w:left w:val="none" w:color="FFFFFF" w:sz="0"/>
            <w:bottom w:val="none" w:color="FFFFFF" w:sz="0"/>
            <w:right w:val="none" w:color="FFFFFF" w:sz="0"/>
          </w:tcBorders>
          <w:vAlign w:val="center"/>
        </w:tcPr>
        <w:p>
          <w:pPr>
            <w:jc w:val="right"/>
          </w:pPr>
          <w:r>
            <w:rPr>
              <w:rFonts w:ascii="Open Sans" w:cs="Open Sans" w:eastAsia="Open Sans" w:hAnsi="Open Sans"/>
              <w:color w:val="59595B"/>
              <w:sz w:val="16"/>
              <w:szCs w:val="16"/>
            </w:rPr>
            <w:t xml:space="preserve">ROG Services  ·  Executive Summary</w:t>
          </w:r>
        </w:p>
      </w:tc>
    </w:tr>
  </w:tbl>
  <w:p>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3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Open Sans" w:cs="Open Sans" w:eastAsia="Open Sans" w:hAnsi="Open Sans"/>
        <w:color w:val="59595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120" w:before="280"/>
      <w:outlineLvl w:val="1"/>
    </w:pPr>
    <w:rPr>
      <w:rFonts w:ascii="Open Sans" w:cs="Open Sans" w:eastAsia="Open Sans" w:hAnsi="Open Sans"/>
      <w:b/>
      <w:bCs/>
      <w:color w:val="006D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3103d8b7cd0eed7467432b2205de7bc29f677af.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f3103d8b7cd0eed7467432b2205de7bc29f677af.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ROG Services — Executive Summary</dc:title>
  <dc:creator>Technijian</dc:creator>
  <dc:description>Forwardable executive summary for ROG Services, prepared by Technijian.</dc:description>
  <cp:lastModifiedBy>Un-named</cp:lastModifiedBy>
  <cp:revision>1</cp:revision>
  <dcterms:created xsi:type="dcterms:W3CDTF">2026-06-22T16:39:19.541Z</dcterms:created>
  <dcterms:modified xsi:type="dcterms:W3CDTF">2026-06-22T16:39:19.543Z</dcterms:modified>
</cp:coreProperties>
</file>

<file path=docProps/custom.xml><?xml version="1.0" encoding="utf-8"?>
<Properties xmlns="http://schemas.openxmlformats.org/officeDocument/2006/custom-properties" xmlns:vt="http://schemas.openxmlformats.org/officeDocument/2006/docPropsVTypes"/>
</file>