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April 9, 2026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Mason West LLC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Attn: Executive Leadership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1601 E Miraloma Ave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Placentia, CA 92870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Dear Mason West Leadership Team,</w:t>
      </w:r>
    </w:p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writing to introduce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and the AI consulting services we provide to established engineering, fabrication, and specialty construction firms. With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50+ years of industry experience, ISO 9001 &amp; AS9100 certification, ITAR registration, and operations spanning 4 offices across California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, Mason West represents exactly the type of operationally complex, precision-driven business where targeted AI adoption can create outsized returns — without disrupting what already works.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I’m Ravi Jain, Founder &amp; CEO of Technijian, an AI strategy and implementation consulting firm based in Irvine — just minutes from your Placentia headquarters. I’ve spent 25+ years helping organizations across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manufacturing, construction, engineering, and professional services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move from AI curiosity to operational deployment. My approach is practical: identify where AI creates measurable value, design solutions that respect your existing workflows and compliance requirements, then implement and operationalize them.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MASON WEST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Your organization has qualities that make AI adoption both high-impact and low-risk: a diversified service offering across seismic restraint, vibration control, noise control, and MEPF solutions; engineering and fabrication capabilities serving military, aerospace, and commercial sectors; multi-office coordination across Placentia, San Diego, San Francisco, and Sacramento; and ISO/AS9100/ITAR compliance requirements that demand precision in every process.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Based on my review of your operations and market position, I see several areas where AI can deliver </w:t>
      </w:r>
      <w:r>
        <w:rPr>
          <w:rFonts w:ascii="Open Sans" w:cs="Open Sans" w:eastAsia="Open Sans" w:hAnsi="Open Sans"/>
          <w:b/>
          <w:bCs/>
          <w:color w:val="59595B"/>
          <w:sz w:val="22"/>
          <w:szCs w:val="22"/>
        </w:rPr>
        <w:t xml:space="preserve">immediate, measurable ROI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Mason West: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PROPOSED AI CONSULTING PROJECTS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Readiness Assessment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Discovery engagement to map current workflows across engineering, estimating, fabrication, project management, and field operations; identify top AI opportunities ranked by ROI and feasibility; deliver an executive-ready roadmap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Intelligent Estimating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AI-powered analysis of project specifications, seismic codes, and historical job data to accelerate takeoffs, generate more accurate estimates, and identify scope risks earlier in the bid process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Smart Fabrication Ops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AI-assisted production scheduling, materials optimization, quality inspection analytics, and predictive maintenance for fabrication equipment — reducing waste and improving throughput across your 40,000 sq ft facility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Engineering Knowledge AI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AI-powered knowledge base across your engineering team’s expertise: seismic code interpretation, product selection guidance, installation best practices, and automated specification review for contractors and consultants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AI Document Intelligence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Automated processing of project specifications, RFPs, submittals, compliance documentation, and ITAR-controlled materials — with built-in access controls and audit trails for regulatory compliance</w:t>
            </w:r>
          </w:p>
        </w:tc>
      </w:tr>
      <w:tr>
        <w:tc>
          <w:tcPr>
            <w:tcW w:type="dxa" w:w="28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Executive AI Briefing</w:t>
            </w:r>
          </w:p>
        </w:tc>
        <w:tc>
          <w:tcPr>
            <w:tcW w:type="dxa" w:w="65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Half-day leadership workshop: manufacturing and engineering AI landscape, live demos tailored to Mason West’s operations, competitive positioning, and prioritized opportunity assessment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OPTIONS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FIXED-SCOPE PROJECTS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Defined scope, deliverables, and timeline. Pay for outcomes, not hours. Ideal for discrete initiatives like the AI Readiness Assessment or Document Intelligence.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FLEXIBLE CONSULTING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On-demand engagement for ongoing strategic guidance, architecture reviews, implementation support, or supplementing your team on AI initiatives as needs evolve.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FRACTIONAL AI ADVISOR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Retained monthly engagement providing ongoing strategic AI guidance, vendor evaluation, team enablement, and implementation oversight on a predictable cadence.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WHY TECHNIJIAN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Local Partner: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We’re based in Irvine, minutes from your Placentia headquarters. We understand Southern California’s construction and engineering landscape, seismic requirements, and the regulatory environment your team navigates daily.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Strategy + Implementation: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Unlike pure strategy consultants, we don’t hand you a slide deck and walk away. We architect, build, and operationalize solutions through to production.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Compliance-First Design: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Every solution we design includes access controls, audit trails, and data governance — critical when handling ITAR-controlled materials, AS9100 quality documentation, and sensitive project specifications.</w:t>
      </w:r>
    </w:p>
    <w:p>
      <w:pPr>
        <w:spacing w:after="120"/>
      </w:pPr>
      <w:r>
        <w:rPr>
          <w:rFonts w:ascii="Open Sans" w:cs="Open Sans" w:eastAsia="Open Sans" w:hAnsi="Open Sans"/>
          <w:b/>
          <w:bCs/>
          <w:color w:val="F67D4B"/>
          <w:sz w:val="22"/>
          <w:szCs w:val="22"/>
        </w:rPr>
        <w:t xml:space="preserve">▸ Proven AI Delivery: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We’ve deployed AI document intelligence for FINRA broker-dealers, multi-agent automation platforms, and enterprise-grade LLM workflows — with the same rigor we’d bring to Mason West.</w:t>
      </w:r>
    </w:p>
    <w:p>
      <w:pPr>
        <w:spacing w:before="20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I’d welcome the opportunity to schedule a 30-minute introductory call with your leadership team to discuss how AI can strengthen Mason West’s engineering operations, fabrication efficiency, and competitive positioning. An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Executive AI Briefing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is a great starting point — or we can begin with a comprehensive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AI Readiness Assessment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for a deeper, actionable engagement.</w:t>
      </w:r>
    </w:p>
    <w:p>
      <w:pPr>
        <w:spacing w:before="100"/>
      </w:pP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Looking forward to the conversation.</w:t>
      </w:r>
    </w:p>
    <w:p>
      <w:pPr>
        <w:spacing w:before="20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Ravi Jain</w:t>
      </w:r>
    </w:p>
    <w:p>
      <w:r>
        <w:rPr>
          <w:rFonts w:ascii="Open Sans" w:cs="Open Sans" w:eastAsia="Open Sans" w:hAnsi="Open Sans"/>
          <w:color w:val="006DB6"/>
          <w:sz w:val="22"/>
          <w:szCs w:val="22"/>
        </w:rPr>
        <w:t xml:space="preserve">Founder &amp; CEO, Technijian Corporation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AI Strategy &amp; Implementation Consulting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rjain@technijian.com  •  (949) 379-8499 x201  •  technijian.com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18 Technology Dr., Ste 141, Irvine, CA 92618 | 949.379.8500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2026-04-09T16:54:10.983Z</dcterms:created>
  <dcterms:modified xsi:type="dcterms:W3CDTF">2026-04-09T16:54:10.985Z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