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A1A2E" w:val="clear"/>
            <w:tcMar>
              <w:top w:type="dxa" w:w="16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40"/>
                <w:szCs w:val="40"/>
              </w:rPr>
              <w:t xml:space="preserve">RAVI JAIN</w:t>
            </w:r>
          </w:p>
          <w:p>
            <w:pPr>
              <w:spacing w:before="40"/>
            </w:pPr>
            <w:r>
              <w:rPr>
                <w:rFonts w:ascii="Open Sans" w:cs="Open Sans" w:eastAsia="Open Sans" w:hAnsi="Open Sans"/>
                <w:color w:val="1EAAC8"/>
                <w:sz w:val="22"/>
                <w:szCs w:val="22"/>
              </w:rPr>
              <w:t xml:space="preserve">AI Strategy &amp; Implementation Consultant</w:t>
            </w:r>
            <w:r>
              <w:rPr>
                <w:rFonts w:ascii="Open Sans" w:cs="Open Sans" w:eastAsia="Open Sans" w:hAnsi="Open Sans"/>
                <w:color w:val="59595B"/>
                <w:sz w:val="22"/>
                <w:szCs w:val="22"/>
              </w:rPr>
              <w:t xml:space="preserve">  |  </w:t>
            </w:r>
            <w:r>
              <w:rPr>
                <w:rFonts w:ascii="Open Sans" w:cs="Open Sans" w:eastAsia="Open Sans" w:hAnsi="Open Sans"/>
                <w:color w:val="F67D4B"/>
                <w:sz w:val="22"/>
                <w:szCs w:val="22"/>
              </w:rPr>
              <w:t xml:space="preserve">Founder &amp; CEO, Technijian</w:t>
            </w:r>
          </w:p>
          <w:p>
            <w:pPr>
              <w:spacing w:before="60"/>
            </w:pPr>
            <w:r>
              <w:rPr>
                <w:rFonts w:ascii="Open Sans" w:cs="Open Sans" w:eastAsia="Open Sans" w:hAnsi="Open Sans"/>
                <w:color w:val="E9ECEF"/>
                <w:sz w:val="18"/>
                <w:szCs w:val="18"/>
              </w:rPr>
              <w:t xml:space="preserve">Irvine, CA  •  rjain@technijian.com  •  (949) 379-8499 x201  •  technijian.com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4"/>
                <w:szCs w:val="24"/>
              </w:rPr>
              <w:t xml:space="preserve">EXECUTIVE PROFILE</w:t>
            </w:r>
          </w:p>
        </w:tc>
      </w:tr>
    </w:tbl>
    <w:p>
      <w:pPr>
        <w:spacing w:before="60"/>
      </w:pPr>
    </w:p>
    <w:p>
      <w:pPr>
        <w:spacing w:after="10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0"/>
          <w:szCs w:val="20"/>
        </w:rPr>
        <w:t xml:space="preserve">AI and technology consulting executive with a blend of boardroom-level strategy, enterprise transformation leadership, and hands-on implementation capability. I help organizations move from AI exploration to operational deployment by aligning business goals, security requirements, data architecture, workflow automation, and user adoption.</w:t>
      </w:r>
    </w:p>
    <w:p>
      <w:pPr>
        <w:spacing w:before="40"/>
      </w:pPr>
    </w:p>
    <w:p>
      <w:pPr>
        <w:spacing w:after="10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0"/>
          <w:szCs w:val="20"/>
        </w:rPr>
        <w:t xml:space="preserve">My work sits at the intersection of AI strategy, enterprise software architecture, automation, cybersecurity, compliance, and managed operations. Known for translating ambiguity into execution: defining roadmaps, architecting systems, selecting tools, designing workflows, building governance guardrails, and driving delivery through to production. 25+ years as a technology operator give me a practitioner’s lens that pure strategists rarely bring.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4"/>
                <w:szCs w:val="24"/>
              </w:rPr>
              <w:t xml:space="preserve">CORE CONSULTING CAPABILITIES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Enterprise AI strategy &amp; adoption roadmaps</w:t>
            </w:r>
          </w:p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AI use case discovery, prioritization &amp; business-case development</w:t>
            </w:r>
          </w:p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Hands-on AI implementation for internal operations &amp; client services</w:t>
            </w:r>
          </w:p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LLM workflow design, guardrails, approval flows &amp; secure tool integration</w:t>
            </w:r>
          </w:p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AI-enabled service delivery for MSP, IT, security &amp; compliance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Enterprise software &amp; platform architecture</w:t>
            </w:r>
          </w:p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Process automation &amp; workflow orchestration</w:t>
            </w:r>
          </w:p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Security-first AI design, RBAC, auditability &amp; policy controls</w:t>
            </w:r>
          </w:p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Multi-tenant SaaS &amp; operational platform design</w:t>
            </w:r>
          </w:p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AI product strategy, feature definition &amp; delivery oversight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4"/>
                <w:szCs w:val="24"/>
              </w:rPr>
              <w:t xml:space="preserve">REPRESENTATIVE VALUE TO CLIENTS</w:t>
            </w:r>
          </w:p>
        </w:tc>
      </w:tr>
    </w:tbl>
    <w:p>
      <w:pPr>
        <w:spacing w:before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AI to Execution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8"/>
                <w:szCs w:val="18"/>
              </w:rPr>
              <w:t xml:space="preserve">Turn AI from a vague initiative into an executable roadmap with clear phases, ownership, controls, and ROI logic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EAA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Built for Real Business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8"/>
                <w:szCs w:val="18"/>
              </w:rPr>
              <w:t xml:space="preserve">Design solutions that are usable inside real businesses with security, compliance, and operational constraints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Strategy + Implementation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8"/>
                <w:szCs w:val="18"/>
              </w:rPr>
              <w:t xml:space="preserve">Combine consulting judgment with hands-on implementation depth, reducing the gap between recommendations and deployment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1EAAC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Operator Mindset</w:t>
            </w:r>
          </w:p>
        </w:tc>
        <w:tc>
          <w:tcPr>
            <w:tcW w:type="dxa" w:w="768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8"/>
                <w:szCs w:val="18"/>
              </w:rPr>
              <w:t xml:space="preserve">Bring 25+ years of running a technology business to AI engagements — adoption, workflows, governance, and measurable outcomes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4"/>
                <w:szCs w:val="24"/>
              </w:rPr>
              <w:t xml:space="preserve">PROFESSIONAL EXPERIENCE</w:t>
            </w:r>
          </w:p>
        </w:tc>
      </w:tr>
    </w:tbl>
    <w:p>
      <w:pPr>
        <w:spacing w:before="80"/>
      </w:pP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CEO &amp; AI / Technology Consulting Leader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  |  </w:t>
      </w:r>
      <w:r>
        <w:rPr>
          <w:rFonts w:ascii="Open Sans" w:cs="Open Sans" w:eastAsia="Open Sans" w:hAnsi="Open Sans"/>
          <w:b/>
          <w:bCs/>
          <w:color w:val="006DB6"/>
          <w:sz w:val="22"/>
          <w:szCs w:val="22"/>
        </w:rPr>
        <w:t xml:space="preserve">Technijian Corporation</w:t>
      </w:r>
    </w:p>
    <w:p>
      <w:pPr>
        <w:spacing w:after="100"/>
      </w:pPr>
      <w:r>
        <w:rPr>
          <w:rFonts w:ascii="Open Sans" w:cs="Open Sans" w:eastAsia="Open Sans" w:hAnsi="Open Sans"/>
          <w:i/>
          <w:iCs/>
          <w:color w:val="59595B"/>
          <w:sz w:val="18"/>
          <w:szCs w:val="18"/>
        </w:rPr>
        <w:t xml:space="preserve">2000 – Present  •  Irvine, California  •  technijian.com</w:t>
      </w:r>
    </w:p>
    <w:p>
      <w:pPr>
        <w:spacing w:after="10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0"/>
          <w:szCs w:val="20"/>
        </w:rPr>
        <w:t xml:space="preserve">Lead a technology services and consulting business focused on helping organizations modernize operations, improve security posture, and adopt practical automation and AI solutions across managed IT, cybersecurity, cloud, compliance, and custom software.</w:t>
      </w:r>
    </w:p>
    <w:p>
      <w:pPr>
        <w:spacing w:before="80"/>
      </w:pPr>
    </w:p>
    <w:p>
      <w:pPr>
        <w:spacing w:after="60"/>
      </w:pPr>
      <w:r>
        <w:rPr>
          <w:rFonts w:ascii="Open Sans" w:cs="Open Sans" w:eastAsia="Open Sans" w:hAnsi="Open Sans"/>
          <w:b/>
          <w:bCs/>
          <w:color w:val="1EAAC8"/>
          <w:sz w:val="20"/>
          <w:szCs w:val="20"/>
        </w:rPr>
        <w:t xml:space="preserve">Enterprise Consulting &amp; Advisory</w:t>
      </w:r>
    </w:p>
    <w:p>
      <w:pPr>
        <w:spacing w:after="60"/>
        <w:ind w:left="360" w:hanging="180"/>
      </w:pPr>
      <w:r>
        <w:rPr>
          <w:rFonts w:ascii="Open Sans" w:cs="Open Sans" w:eastAsia="Open Sans" w:hAnsi="Open Sans"/>
          <w:color w:val="006DB6"/>
          <w:sz w:val="20"/>
          <w:szCs w:val="20"/>
        </w:rPr>
        <w:t xml:space="preserve">• </w:t>
      </w:r>
      <w:r>
        <w:rPr>
          <w:rFonts w:ascii="Open Sans" w:cs="Open Sans" w:eastAsia="Open Sans" w:hAnsi="Open Sans"/>
          <w:color w:val="59595B"/>
          <w:sz w:val="20"/>
          <w:szCs w:val="20"/>
        </w:rPr>
        <w:t xml:space="preserve">Advise clients on enterprise AI adoption — opportunity mapping, workflow redesign, governance requirements, and phased implementation strategy</w:t>
      </w:r>
    </w:p>
    <w:p>
      <w:pPr>
        <w:spacing w:after="60"/>
        <w:ind w:left="360" w:hanging="180"/>
      </w:pPr>
      <w:r>
        <w:rPr>
          <w:rFonts w:ascii="Open Sans" w:cs="Open Sans" w:eastAsia="Open Sans" w:hAnsi="Open Sans"/>
          <w:color w:val="006DB6"/>
          <w:sz w:val="20"/>
          <w:szCs w:val="20"/>
        </w:rPr>
        <w:t xml:space="preserve">• </w:t>
      </w:r>
      <w:r>
        <w:rPr>
          <w:rFonts w:ascii="Open Sans" w:cs="Open Sans" w:eastAsia="Open Sans" w:hAnsi="Open Sans"/>
          <w:color w:val="59595B"/>
          <w:sz w:val="20"/>
          <w:szCs w:val="20"/>
        </w:rPr>
        <w:t xml:space="preserve">Work with executive stakeholders to identify where AI can improve service delivery, reduce manual effort, accelerate documentation, improve decision support, and strengthen operational consistency</w:t>
      </w:r>
    </w:p>
    <w:p>
      <w:pPr>
        <w:spacing w:after="60"/>
        <w:ind w:left="360" w:hanging="180"/>
      </w:pPr>
      <w:r>
        <w:rPr>
          <w:rFonts w:ascii="Open Sans" w:cs="Open Sans" w:eastAsia="Open Sans" w:hAnsi="Open Sans"/>
          <w:color w:val="006DB6"/>
          <w:sz w:val="20"/>
          <w:szCs w:val="20"/>
        </w:rPr>
        <w:t xml:space="preserve">• </w:t>
      </w:r>
      <w:r>
        <w:rPr>
          <w:rFonts w:ascii="Open Sans" w:cs="Open Sans" w:eastAsia="Open Sans" w:hAnsi="Open Sans"/>
          <w:color w:val="59595B"/>
          <w:sz w:val="20"/>
          <w:szCs w:val="20"/>
        </w:rPr>
        <w:t xml:space="preserve">Bridge business and technical teams by translating strategic goals into implementation plans, architectural requirements, delivery milestones, and measurable outcomes</w:t>
      </w:r>
    </w:p>
    <w:p>
      <w:pPr>
        <w:spacing w:before="80"/>
      </w:pPr>
    </w:p>
    <w:p>
      <w:pPr>
        <w:spacing w:after="60"/>
      </w:pPr>
      <w:r>
        <w:rPr>
          <w:rFonts w:ascii="Open Sans" w:cs="Open Sans" w:eastAsia="Open Sans" w:hAnsi="Open Sans"/>
          <w:b/>
          <w:bCs/>
          <w:color w:val="1EAAC8"/>
          <w:sz w:val="20"/>
          <w:szCs w:val="20"/>
        </w:rPr>
        <w:t xml:space="preserve">Hands-On Implementation Leadership</w:t>
      </w:r>
    </w:p>
    <w:p>
      <w:pPr>
        <w:spacing w:after="60"/>
        <w:ind w:left="360" w:hanging="180"/>
      </w:pPr>
      <w:r>
        <w:rPr>
          <w:rFonts w:ascii="Open Sans" w:cs="Open Sans" w:eastAsia="Open Sans" w:hAnsi="Open Sans"/>
          <w:color w:val="006DB6"/>
          <w:sz w:val="20"/>
          <w:szCs w:val="20"/>
        </w:rPr>
        <w:t xml:space="preserve">• </w:t>
      </w:r>
      <w:r>
        <w:rPr>
          <w:rFonts w:ascii="Open Sans" w:cs="Open Sans" w:eastAsia="Open Sans" w:hAnsi="Open Sans"/>
          <w:color w:val="59595B"/>
          <w:sz w:val="20"/>
          <w:szCs w:val="20"/>
        </w:rPr>
        <w:t xml:space="preserve">Translate consulting strategy into delivery by shaping solution architecture, system design, operational workflows, data structures, APIs, and deployment patterns</w:t>
      </w:r>
    </w:p>
    <w:p>
      <w:pPr>
        <w:spacing w:after="60"/>
        <w:ind w:left="360" w:hanging="180"/>
      </w:pPr>
      <w:r>
        <w:rPr>
          <w:rFonts w:ascii="Open Sans" w:cs="Open Sans" w:eastAsia="Open Sans" w:hAnsi="Open Sans"/>
          <w:color w:val="006DB6"/>
          <w:sz w:val="20"/>
          <w:szCs w:val="20"/>
        </w:rPr>
        <w:t xml:space="preserve">• </w:t>
      </w:r>
      <w:r>
        <w:rPr>
          <w:rFonts w:ascii="Open Sans" w:cs="Open Sans" w:eastAsia="Open Sans" w:hAnsi="Open Sans"/>
          <w:color w:val="59595B"/>
          <w:sz w:val="20"/>
          <w:szCs w:val="20"/>
        </w:rPr>
        <w:t xml:space="preserve">Lead implementation initiatives: LLM-enabled assistants, workflow automation, policy-aware AI tooling, enterprise documentation systems, security &amp; compliance operations workflows</w:t>
      </w:r>
    </w:p>
    <w:p>
      <w:pPr>
        <w:spacing w:after="60"/>
        <w:ind w:left="360" w:hanging="180"/>
      </w:pPr>
      <w:r>
        <w:rPr>
          <w:rFonts w:ascii="Open Sans" w:cs="Open Sans" w:eastAsia="Open Sans" w:hAnsi="Open Sans"/>
          <w:color w:val="006DB6"/>
          <w:sz w:val="20"/>
          <w:szCs w:val="20"/>
        </w:rPr>
        <w:t xml:space="preserve">• </w:t>
      </w:r>
      <w:r>
        <w:rPr>
          <w:rFonts w:ascii="Open Sans" w:cs="Open Sans" w:eastAsia="Open Sans" w:hAnsi="Open Sans"/>
          <w:color w:val="59595B"/>
          <w:sz w:val="20"/>
          <w:szCs w:val="20"/>
        </w:rPr>
        <w:t xml:space="preserve">Stay involved below the strategy layer: architecture reviews, feature definition, edge-case analysis, process mapping, and execution troubleshooting</w:t>
      </w:r>
    </w:p>
    <w:p>
      <w:pPr>
        <w:spacing w:before="80"/>
      </w:pPr>
    </w:p>
    <w:p>
      <w:pPr>
        <w:spacing w:after="60"/>
      </w:pPr>
      <w:r>
        <w:rPr>
          <w:rFonts w:ascii="Open Sans" w:cs="Open Sans" w:eastAsia="Open Sans" w:hAnsi="Open Sans"/>
          <w:b/>
          <w:bCs/>
          <w:color w:val="1EAAC8"/>
          <w:sz w:val="20"/>
          <w:szCs w:val="20"/>
        </w:rPr>
        <w:t xml:space="preserve">AI / Platform / Product Leadership</w:t>
      </w:r>
    </w:p>
    <w:p>
      <w:pPr>
        <w:spacing w:after="60"/>
        <w:ind w:left="360" w:hanging="180"/>
      </w:pPr>
      <w:r>
        <w:rPr>
          <w:rFonts w:ascii="Open Sans" w:cs="Open Sans" w:eastAsia="Open Sans" w:hAnsi="Open Sans"/>
          <w:color w:val="006DB6"/>
          <w:sz w:val="20"/>
          <w:szCs w:val="20"/>
        </w:rPr>
        <w:t xml:space="preserve">• </w:t>
      </w:r>
      <w:r>
        <w:rPr>
          <w:rFonts w:ascii="Open Sans" w:cs="Open Sans" w:eastAsia="Open Sans" w:hAnsi="Open Sans"/>
          <w:color w:val="59595B"/>
          <w:sz w:val="20"/>
          <w:szCs w:val="20"/>
        </w:rPr>
        <w:t xml:space="preserve">Architected multi-agent AI SEO automation platform integrating Claude, GPT-4o, and Gemini with MCP servers; reduced content production time by ~70%</w:t>
      </w:r>
    </w:p>
    <w:p>
      <w:pPr>
        <w:spacing w:after="60"/>
        <w:ind w:left="360" w:hanging="180"/>
      </w:pPr>
      <w:r>
        <w:rPr>
          <w:rFonts w:ascii="Open Sans" w:cs="Open Sans" w:eastAsia="Open Sans" w:hAnsi="Open Sans"/>
          <w:color w:val="006DB6"/>
          <w:sz w:val="20"/>
          <w:szCs w:val="20"/>
        </w:rPr>
        <w:t xml:space="preserve">• </w:t>
      </w:r>
      <w:r>
        <w:rPr>
          <w:rFonts w:ascii="Open Sans" w:cs="Open Sans" w:eastAsia="Open Sans" w:hAnsi="Open Sans"/>
          <w:color w:val="59595B"/>
          <w:sz w:val="20"/>
          <w:szCs w:val="20"/>
        </w:rPr>
        <w:t xml:space="preserve">Designed SDLC v7.0 ("Claude Code Native") — AI-first software development methodology covering discovery through post-release monitoring</w:t>
      </w:r>
    </w:p>
    <w:p>
      <w:pPr>
        <w:spacing w:after="60"/>
        <w:ind w:left="360" w:hanging="180"/>
      </w:pPr>
      <w:r>
        <w:rPr>
          <w:rFonts w:ascii="Open Sans" w:cs="Open Sans" w:eastAsia="Open Sans" w:hAnsi="Open Sans"/>
          <w:color w:val="006DB6"/>
          <w:sz w:val="20"/>
          <w:szCs w:val="20"/>
        </w:rPr>
        <w:t xml:space="preserve">• </w:t>
      </w:r>
      <w:r>
        <w:rPr>
          <w:rFonts w:ascii="Open Sans" w:cs="Open Sans" w:eastAsia="Open Sans" w:hAnsi="Open Sans"/>
          <w:color w:val="59595B"/>
          <w:sz w:val="20"/>
          <w:szCs w:val="20"/>
        </w:rPr>
        <w:t xml:space="preserve">Architected ScamShield, an AI scam-detection product using LLM Council (Claude + GPT-4o + Gemini), Weaviate RAG, IPQS/Twilio risk scoring, and Whisper transcription — designed for 70–80% gross margins</w:t>
      </w:r>
    </w:p>
    <w:p>
      <w:pPr>
        <w:spacing w:after="60"/>
        <w:ind w:left="360" w:hanging="180"/>
      </w:pPr>
      <w:r>
        <w:rPr>
          <w:rFonts w:ascii="Open Sans" w:cs="Open Sans" w:eastAsia="Open Sans" w:hAnsi="Open Sans"/>
          <w:color w:val="006DB6"/>
          <w:sz w:val="20"/>
          <w:szCs w:val="20"/>
        </w:rPr>
        <w:t xml:space="preserve">• </w:t>
      </w:r>
      <w:r>
        <w:rPr>
          <w:rFonts w:ascii="Open Sans" w:cs="Open Sans" w:eastAsia="Open Sans" w:hAnsi="Open Sans"/>
          <w:color w:val="59595B"/>
          <w:sz w:val="20"/>
          <w:szCs w:val="20"/>
        </w:rPr>
        <w:t xml:space="preserve">Deployed AI-driven document intelligence to auto-populate complex vendor questionnaires for FINRA-registered broker-dealers — cutting RFP response time from days to minutes</w:t>
      </w:r>
    </w:p>
    <w:p>
      <w:pPr>
        <w:spacing w:after="60"/>
        <w:ind w:left="360" w:hanging="180"/>
      </w:pPr>
      <w:r>
        <w:rPr>
          <w:rFonts w:ascii="Open Sans" w:cs="Open Sans" w:eastAsia="Open Sans" w:hAnsi="Open Sans"/>
          <w:color w:val="006DB6"/>
          <w:sz w:val="20"/>
          <w:szCs w:val="20"/>
        </w:rPr>
        <w:t xml:space="preserve">• </w:t>
      </w:r>
      <w:r>
        <w:rPr>
          <w:rFonts w:ascii="Open Sans" w:cs="Open Sans" w:eastAsia="Open Sans" w:hAnsi="Open Sans"/>
          <w:color w:val="59595B"/>
          <w:sz w:val="20"/>
          <w:szCs w:val="20"/>
        </w:rPr>
        <w:t xml:space="preserve">Implemented Weaviate and Obsidian.md hybrid memory systems for enterprise AI agents, enabling persistent knowledge retrieval across sessions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4"/>
                <w:szCs w:val="24"/>
              </w:rPr>
              <w:t xml:space="preserve">TECHNOLOGY &amp; DOMAIN AREAS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AI / Automation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8"/>
                <w:szCs w:val="18"/>
              </w:rPr>
              <w:t xml:space="preserve">Claude (Sonnet/Opus), GPT-4o, Gemini, Whisper | MCP Protocol &amp; Apps | Claude Code | Multi-agent orchestration | LLM workflow design | Weaviate, Chroma, Pinecone (RAG/vector) | Obsidian.md knowledge systems | Prompt &amp; system design | AI governance patterns</w:t>
            </w:r>
          </w:p>
        </w:tc>
      </w:tr>
    </w:tbl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8"/>
                <w:szCs w:val="18"/>
              </w:rPr>
              <w:t xml:space="preserve">Multi-tenant platforms | Enterprise web apps | API-first services | Backend orchestration | MCP server integration (SEMrush, GA4, Perplexity, Firecrawl, DataForSEO, Asana, Gmail, Google Calendar) | .NET 8, React, WordPress</w:t>
            </w:r>
          </w:p>
        </w:tc>
      </w:tr>
    </w:tbl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Security / Compliance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8"/>
                <w:szCs w:val="18"/>
              </w:rPr>
              <w:t xml:space="preserve">Access control &amp; RBAC | Audit trails | Compliance evidence workflows | HIPAA, PCI DSS, SOC 2, GDPR | CrowdStrike | DLP-oriented design | Zero Trust principles</w:t>
            </w:r>
          </w:p>
        </w:tc>
      </w:tr>
    </w:tbl>
    <w:p>
      <w:pPr>
        <w:spacing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  <w:shd w:fill="006D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FFFFFF"/>
                <w:sz w:val="18"/>
                <w:szCs w:val="18"/>
              </w:rPr>
              <w:t xml:space="preserve">Cloud &amp; Infra</w:t>
            </w:r>
          </w:p>
        </w:tc>
        <w:tc>
          <w:tcPr>
            <w:tcW w:type="dxa" w:w="7160"/>
            <w:tcBorders>
              <w:top w:val="none"/>
              <w:left w:val="none"/>
              <w:bottom w:val="none"/>
              <w:right w:val="none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Open Sans" w:cs="Open Sans" w:eastAsia="Open Sans" w:hAnsi="Open Sans"/>
                <w:color w:val="59595B"/>
                <w:sz w:val="18"/>
                <w:szCs w:val="18"/>
              </w:rPr>
              <w:t xml:space="preserve">AWS | Microsoft Azure | Microsoft 365 | Private datacenter | SD-WAN | 24/7 managed operations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4"/>
                <w:szCs w:val="24"/>
              </w:rPr>
              <w:t xml:space="preserve">ENGAGEMENT MODELS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Fractional AI CTO / Advisor</w:t>
            </w:r>
          </w:p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AI Strategy Workshops</w:t>
            </w:r>
          </w:p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Enterprise Roadmap Development</w:t>
            </w:r>
          </w:p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AI Implementation Planning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AI Product / Service Design</w:t>
            </w:r>
          </w:p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Operational Automation Consulting</w:t>
            </w:r>
          </w:p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Security-Aware AI Workflow Design</w:t>
            </w:r>
          </w:p>
          <w:p>
            <w:pPr>
              <w:spacing w:after="60"/>
            </w:pPr>
            <w:r>
              <w:rPr>
                <w:rFonts w:ascii="Open Sans" w:cs="Open Sans" w:eastAsia="Open Sans" w:hAnsi="Open Sans"/>
                <w:color w:val="F67D4B"/>
                <w:sz w:val="20"/>
                <w:szCs w:val="20"/>
              </w:rPr>
              <w:t xml:space="preserve">▸ </w:t>
            </w: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Executive Advisory + Delivery Oversight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4"/>
                <w:szCs w:val="24"/>
              </w:rPr>
              <w:t xml:space="preserve">INDUSTRIES SERVED</w:t>
            </w:r>
          </w:p>
        </w:tc>
      </w:tr>
    </w:tbl>
    <w:p>
      <w:pPr>
        <w:spacing w:before="80"/>
      </w:pPr>
    </w:p>
    <w:p>
      <w:pPr>
        <w:spacing w:after="10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0"/>
          <w:szCs w:val="20"/>
        </w:rPr>
        <w:t xml:space="preserve">Financial Services &amp; FINRA-Registered Broker-Dealers  •  Healthcare &amp; HIPAA-Regulated Organizations  •  Legal &amp; Professional Services  •  Real Estate &amp; Property Management  •  Technology &amp; SaaS  •  Manufacturing &amp; Distribution  •  Non-Profit &amp; Education  •  Retail &amp; eCommerce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9260"/>
      </w:tblGrid>
      <w:tr>
        <w:tc>
          <w:tcPr>
            <w:tcW w:type="dxa" w:w="100"/>
            <w:tcBorders>
              <w:top w:val="none"/>
              <w:left w:val="none"/>
              <w:bottom w:val="none"/>
              <w:right w:val="none"/>
            </w:tcBorders>
            <w:shd w:fill="006DB6" w:val="clear"/>
          </w:tcPr>
          <w:p/>
        </w:tc>
        <w:tc>
          <w:tcPr>
            <w:tcW w:type="dxa" w:w="92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r>
              <w:rPr>
                <w:rFonts w:ascii="Open Sans" w:cs="Open Sans" w:eastAsia="Open Sans" w:hAnsi="Open Sans"/>
                <w:b/>
                <w:bCs/>
                <w:color w:val="006DB6"/>
                <w:sz w:val="24"/>
                <w:szCs w:val="24"/>
              </w:rPr>
              <w:t xml:space="preserve">EDUCATION</w:t>
            </w:r>
          </w:p>
        </w:tc>
      </w:tr>
    </w:tbl>
    <w:p>
      <w:pPr>
        <w:spacing w:before="80"/>
      </w:pPr>
    </w:p>
    <w:p>
      <w:r>
        <w:rPr>
          <w:rFonts w:ascii="Open Sans" w:cs="Open Sans" w:eastAsia="Open Sans" w:hAnsi="Open Sans"/>
          <w:b/>
          <w:bCs/>
          <w:color w:val="1A1A2E"/>
          <w:sz w:val="20"/>
          <w:szCs w:val="20"/>
        </w:rPr>
        <w:t xml:space="preserve">M.S., Electrical Engineering — Systems Engineering Concentration</w:t>
      </w:r>
    </w:p>
    <w:p>
      <w:pPr>
        <w:spacing w:after="10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0"/>
          <w:szCs w:val="20"/>
        </w:rPr>
        <w:t xml:space="preserve">California State University, Fullerton (CSUF)</w:t>
      </w:r>
    </w:p>
    <w:p>
      <w:pPr>
        <w:spacing w:before="60"/>
      </w:pPr>
    </w:p>
    <w:p>
      <w:r>
        <w:rPr>
          <w:rFonts w:ascii="Open Sans" w:cs="Open Sans" w:eastAsia="Open Sans" w:hAnsi="Open Sans"/>
          <w:b/>
          <w:bCs/>
          <w:color w:val="1A1A2E"/>
          <w:sz w:val="20"/>
          <w:szCs w:val="20"/>
        </w:rPr>
        <w:t xml:space="preserve">B.S., Physics</w:t>
      </w:r>
    </w:p>
    <w:p>
      <w:pPr>
        <w:spacing w:after="10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0"/>
          <w:szCs w:val="20"/>
        </w:rPr>
        <w:t xml:space="preserve">University of California, Los Angeles (UCLA)</w:t>
      </w:r>
    </w:p>
    <w:p>
      <w:pPr>
        <w:spacing w:before="40"/>
      </w:pPr>
    </w:p>
    <w:p>
      <w:pPr>
        <w:spacing w:after="100" w:before="0"/>
      </w:pPr>
      <w:r>
        <w:rPr>
          <w:rFonts w:ascii="Open Sans" w:cs="Open Sans" w:eastAsia="Open Sans" w:hAnsi="Open Sans"/>
          <w:b w:val="false"/>
          <w:bCs w:val="false"/>
          <w:i/>
          <w:iCs/>
          <w:color w:val="59595B"/>
          <w:sz w:val="20"/>
          <w:szCs w:val="20"/>
        </w:rPr>
        <w:t xml:space="preserve">Ongoing professional development through Anthropic, AWS, Microsoft, CrowdStrike, and cybersecurity/compliance certification programs.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67D4B" w:val="clear"/>
            <w:tcMar>
              <w:top w:type="dxa" w:w="10"/>
              <w:left w:type="dxa" w:w="0"/>
              <w:bottom w:type="dxa" w:w="10"/>
              <w:right w:type="dxa" w:w="0"/>
            </w:tcMar>
          </w:tcPr>
          <w:p/>
        </w:tc>
      </w:tr>
    </w:tbl>
    <w:p>
      <w:pPr>
        <w:spacing w:before="60"/>
      </w:pPr>
    </w:p>
    <w:p>
      <w:pPr>
        <w:jc w:val="center"/>
      </w:pPr>
      <w:r>
        <w:rPr>
          <w:rFonts w:ascii="Open Sans" w:cs="Open Sans" w:eastAsia="Open Sans" w:hAnsi="Open Sans"/>
          <w:b/>
          <w:bCs/>
          <w:color w:val="006DB6"/>
          <w:sz w:val="20"/>
          <w:szCs w:val="20"/>
        </w:rPr>
        <w:t xml:space="preserve">rjain@technijian.com  •  (949) 379-8499 x201  •  technijian.com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9ECEF" w:sz="1" w:space="6"/>
      </w:pBdr>
      <w:jc w:val="center"/>
    </w:pPr>
    <w:r>
      <w:rPr>
        <w:rFonts w:ascii="Open Sans" w:cs="Open Sans" w:eastAsia="Open Sans" w:hAnsi="Open Sans"/>
        <w:color w:val="59595B"/>
        <w:sz w:val="16"/>
        <w:szCs w:val="16"/>
      </w:rPr>
      <w:t xml:space="preserve">Technijian Corporation | technijian.com | 949.379.8500  •  Page </w:t>
    </w:r>
    <w:r>
      <w:rPr>
        <w:rFonts w:ascii="Open Sans" w:cs="Open Sans" w:eastAsia="Open Sans" w:hAnsi="Open Sans"/>
        <w:color w:val="59595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DB6" w:sz="2" w:space="6"/>
      </w:pBdr>
    </w:pPr>
    <w:r>
      <w:drawing>
        <wp:inline distT="0" distB="0" distL="0" distR="0">
          <wp:extent cx="1333500" cy="276225"/>
          <wp:effectExtent t="0" r="0" b="0" l="0"/>
          <wp:docPr id="1" name="logo" descr="Logo" title="Techniji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276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11644858f9743ef996d96751599058280f6c15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2026-04-09T16:54:11.219Z</dcterms:created>
  <dcterms:modified xsi:type="dcterms:W3CDTF">2026-04-09T16:54:11.222Z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