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3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B6" w:val="clear"/>
          </w:tcPr>
          <w:p>
            <w:r>
              <w:t xml:space="preserve"/>
            </w:r>
          </w:p>
        </w:tc>
      </w:tr>
    </w:tbl>
    <w:p>
      <w:pPr>
        <w:keepNext/>
        <w:spacing w:after="0" w:before="22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2381250" cy="495300"/>
            <wp:effectExtent t="0" r="0" b="0" l="0"/>
            <wp:docPr id="1" name="Technijian Logo" descr="Technijian Logo" title="Techniji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200"/>
      </w:pPr>
      <w:r>
        <w:t xml:space="preserve"/>
      </w:r>
    </w:p>
    <w:p>
      <w:pPr>
        <w:spacing w:after="90" w:before="0"/>
        <w:jc w:val="center"/>
      </w:pPr>
      <w:r>
        <w:rPr>
          <w:rFonts w:ascii="Open Sans" w:cs="Open Sans" w:eastAsia="Open Sans" w:hAnsi="Open Sans"/>
          <w:b/>
          <w:bCs/>
          <w:i w:val="false"/>
          <w:iCs w:val="false"/>
          <w:color w:val="F67D4B"/>
          <w:sz w:val="22"/>
          <w:szCs w:val="22"/>
        </w:rPr>
        <w:t xml:space="preserve">EXECUTIVE SUMMARY</w:t>
      </w:r>
    </w:p>
    <w:p>
      <w:pPr>
        <w:spacing w:after="80" w:before="0"/>
        <w:jc w:val="center"/>
      </w:pPr>
      <w:r>
        <w:rPr>
          <w:rFonts w:ascii="Open Sans" w:cs="Open Sans" w:eastAsia="Open Sans" w:hAnsi="Open Sans"/>
          <w:b/>
          <w:bCs/>
          <w:i w:val="false"/>
          <w:iCs w:val="false"/>
          <w:color w:val="1A1A2E"/>
          <w:sz w:val="42"/>
          <w:szCs w:val="42"/>
        </w:rPr>
        <w:t xml:space="preserve">Multipoint Network</w:t>
      </w:r>
    </w:p>
    <w:p>
      <w:pPr>
        <w:spacing w:after="60"/>
        <w:jc w:val="center"/>
      </w:pPr>
      <w:r>
        <w:rPr>
          <w:rFonts w:ascii="Open Sans" w:cs="Open Sans" w:eastAsia="Open Sans" w:hAnsi="Open Sans"/>
          <w:i/>
          <w:iCs/>
          <w:color w:val="59595B"/>
          <w:sz w:val="21"/>
          <w:szCs w:val="21"/>
        </w:rPr>
        <w:t xml:space="preserve">AI Growth — rare capability, near-zero visibility</w:t>
      </w:r>
    </w:p>
    <w:p>
      <w:pPr>
        <w:spacing w:after="170"/>
        <w:jc w:val="center"/>
      </w:pPr>
      <w:r>
        <w:rPr>
          <w:rFonts w:ascii="Open Sans" w:cs="Open Sans" w:eastAsia="Open Sans" w:hAnsi="Open Sans"/>
          <w:color w:val="59595B"/>
          <w:sz w:val="17"/>
          <w:szCs w:val="17"/>
        </w:rPr>
        <w:t xml:space="preserve">Prepared for Multipoint Network  ·  June 17, 2026  ·  Confidential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80"/>
              <w:left w:type="dxa" w:w="70"/>
              <w:bottom w:type="dxa" w:w="180"/>
              <w:right w:type="dxa" w:w="7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38"/>
                <w:szCs w:val="38"/>
              </w:rPr>
              <w:t xml:space="preserve">20+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5"/>
                <w:szCs w:val="15"/>
              </w:rPr>
              <w:t xml:space="preserve">Years in business (since ~2003)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80"/>
              <w:left w:type="dxa" w:w="70"/>
              <w:bottom w:type="dxa" w:w="180"/>
              <w:right w:type="dxa" w:w="7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67D4B"/>
                <w:sz w:val="38"/>
                <w:szCs w:val="38"/>
              </w:rPr>
              <w:t xml:space="preserve">WB · NBCU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5"/>
                <w:szCs w:val="15"/>
              </w:rPr>
              <w:t xml:space="preserve">Client logos shown (incl. Paramount)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80"/>
              <w:left w:type="dxa" w:w="70"/>
              <w:bottom w:type="dxa" w:w="180"/>
              <w:right w:type="dxa" w:w="7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1EAAC8"/>
                <w:sz w:val="38"/>
                <w:szCs w:val="38"/>
              </w:rPr>
              <w:t xml:space="preserve">TPN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5"/>
                <w:szCs w:val="15"/>
              </w:rPr>
              <w:t xml:space="preserve">+ SOC 2 + CMMC certified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80"/>
              <w:left w:type="dxa" w:w="70"/>
              <w:bottom w:type="dxa" w:w="180"/>
              <w:right w:type="dxa" w:w="7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CC0000"/>
                <w:sz w:val="38"/>
                <w:szCs w:val="38"/>
              </w:rPr>
              <w:t xml:space="preserve">122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5"/>
                <w:szCs w:val="15"/>
              </w:rPr>
              <w:t xml:space="preserve">LinkedIn followers — the gap</w:t>
            </w:r>
          </w:p>
        </w:tc>
      </w:tr>
    </w:tbl>
    <w:p>
      <w:pPr>
        <w:keepNext/>
        <w:spacing w:after="0" w:before="150"/>
      </w:pPr>
      <w:r>
        <w:t xml:space="preserve"/>
      </w:r>
    </w:p>
    <w:p>
      <w:pPr>
        <w:keepNext w:val="false"/>
        <w:spacing w:after="120" w:before="0" w:line="318"/>
        <w:jc w:val="both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Multipoint Network is a small, founder-led Beverly Hills firm that has rebranded into a "Design. Build. Grow." software, AI/ML, and entertainment-infrastructure boutique — custom software, in-house AI/ML production systems, a real Cloudflare practice, and SOC 2 / CMMC / TPN (the studios’ content-security standard) behind it, with media client logos including Warner Bros., Paramount, and NBCUniversal. The work is first-rate. The problem is that almost no one outside its existing relationships can tell. This summary states only verified facts and defers every company-specific number to discovery.</w:t>
      </w:r>
    </w:p>
    <w:p>
      <w:pPr>
        <w:spacing w:after="60" w:before="0" w:line="318"/>
        <w:jc w:val="both"/>
      </w:pPr>
      <w:r>
        <w:rPr>
          <w:rFonts w:ascii="Open Sans" w:cs="Open Sans" w:eastAsia="Open Sans" w:hAnsi="Open Sans"/>
          <w:b/>
          <w:bCs/>
          <w:i w:val="false"/>
          <w:iCs w:val="false"/>
          <w:color w:val="1A1A2E"/>
          <w:sz w:val="22"/>
          <w:szCs w:val="22"/>
        </w:rPr>
        <w:t xml:space="preserve">The opportunity is visibility, not capability.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The IT-services firms that win are vertically specialised, security-first, and AI-forward — Multipoint already is all three. What it lacks is the industry’s most-cited growth constraint: a demand engine. A thin website, ~122 LinkedIn followers, little search presence, and a flagship cost-reduction case (a published $187K-to-$3K cloud story) almost no prospect ever sees.</w:t>
      </w:r>
    </w:p>
    <w:p>
      <w:pPr>
        <w:pStyle w:val="Heading2"/>
        <w:keepNext/>
        <w:keepLines/>
        <w:spacing w:after="110" w:before="260"/>
      </w:pPr>
      <w:r>
        <w:rPr>
          <w:rFonts w:ascii="Open Sans" w:cs="Open Sans" w:eastAsia="Open Sans" w:hAnsi="Open Sans"/>
          <w:b/>
          <w:bCs/>
          <w:color w:val="006DB6"/>
          <w:sz w:val="26"/>
          <w:szCs w:val="26"/>
        </w:rPr>
        <w:t xml:space="preserve">What we verified</w:t>
      </w:r>
    </w:p>
    <w:p>
      <w:pPr>
        <w:pStyle w:val="ListParagraph"/>
        <w:numPr>
          <w:ilvl w:val="0"/>
          <w:numId w:val="2"/>
        </w:numPr>
        <w:spacing w:after="70" w:before="30" w:line="296"/>
      </w:pPr>
      <w:r>
        <w:rPr>
          <w:rFonts w:ascii="Open Sans" w:cs="Open Sans" w:eastAsia="Open Sans" w:hAnsi="Open Sans"/>
          <w:b/>
          <w:bCs/>
          <w:color w:val="1A1A2E"/>
          <w:sz w:val="21"/>
          <w:szCs w:val="21"/>
        </w:rPr>
        <w:t xml:space="preserve">A rebranded, AI-forward boutique: </w:t>
      </w:r>
      <w:r>
        <w:rPr>
          <w:rFonts w:ascii="Open Sans" w:cs="Open Sans" w:eastAsia="Open Sans" w:hAnsi="Open Sans"/>
          <w:b w:val="false"/>
          <w:bCs w:val="false"/>
          <w:color w:val="59595B"/>
          <w:sz w:val="21"/>
          <w:szCs w:val="21"/>
        </w:rPr>
        <w:t xml:space="preserve">custom software, in-house AI/ML production systems, and a real Cloudflare practice — not a generic managed-IT shop (the legacy MSP positioning still lingers in directories).</w:t>
      </w:r>
    </w:p>
    <w:p>
      <w:pPr>
        <w:pStyle w:val="ListParagraph"/>
        <w:numPr>
          <w:ilvl w:val="0"/>
          <w:numId w:val="2"/>
        </w:numPr>
        <w:spacing w:after="70" w:before="30" w:line="296"/>
      </w:pPr>
      <w:r>
        <w:rPr>
          <w:rFonts w:ascii="Open Sans" w:cs="Open Sans" w:eastAsia="Open Sans" w:hAnsi="Open Sans"/>
          <w:b/>
          <w:bCs/>
          <w:color w:val="1A1A2E"/>
          <w:sz w:val="21"/>
          <w:szCs w:val="21"/>
        </w:rPr>
        <w:t xml:space="preserve">Studio-grade and proven: </w:t>
      </w:r>
      <w:r>
        <w:rPr>
          <w:rFonts w:ascii="Open Sans" w:cs="Open Sans" w:eastAsia="Open Sans" w:hAnsi="Open Sans"/>
          <w:b w:val="false"/>
          <w:bCs w:val="false"/>
          <w:color w:val="59595B"/>
          <w:sz w:val="21"/>
          <w:szCs w:val="21"/>
        </w:rPr>
        <w:t xml:space="preserve">SOC 2, CMMC, and TPN (the entertainment industry’s content-security standard), with client logos including Warner Bros., Paramount, and NBCUniversal shown on their site.</w:t>
      </w:r>
    </w:p>
    <w:p>
      <w:pPr>
        <w:pStyle w:val="ListParagraph"/>
        <w:numPr>
          <w:ilvl w:val="0"/>
          <w:numId w:val="2"/>
        </w:numPr>
        <w:spacing w:after="70" w:before="30" w:line="296"/>
      </w:pPr>
      <w:r>
        <w:rPr>
          <w:rFonts w:ascii="Open Sans" w:cs="Open Sans" w:eastAsia="Open Sans" w:hAnsi="Open Sans"/>
          <w:b/>
          <w:bCs/>
          <w:color w:val="1A1A2E"/>
          <w:sz w:val="21"/>
          <w:szCs w:val="21"/>
        </w:rPr>
        <w:t xml:space="preserve">Founder-led and small: </w:t>
      </w:r>
      <w:r>
        <w:rPr>
          <w:rFonts w:ascii="Open Sans" w:cs="Open Sans" w:eastAsia="Open Sans" w:hAnsi="Open Sans"/>
          <w:b w:val="false"/>
          <w:bCs w:val="false"/>
          <w:color w:val="59595B"/>
          <w:sz w:val="21"/>
          <w:szCs w:val="21"/>
        </w:rPr>
        <w:t xml:space="preserve">Brian Bloom, President; a senior team of a handful of people; ~20 years in business. Revenue and headcount are discovery items, not assumptions.</w:t>
      </w:r>
    </w:p>
    <w:p>
      <w:pPr>
        <w:pStyle w:val="ListParagraph"/>
        <w:numPr>
          <w:ilvl w:val="0"/>
          <w:numId w:val="2"/>
        </w:numPr>
        <w:spacing w:after="70" w:before="30" w:line="296"/>
      </w:pPr>
      <w:r>
        <w:rPr>
          <w:rFonts w:ascii="Open Sans" w:cs="Open Sans" w:eastAsia="Open Sans" w:hAnsi="Open Sans"/>
          <w:b/>
          <w:bCs/>
          <w:color w:val="1A1A2E"/>
          <w:sz w:val="21"/>
          <w:szCs w:val="21"/>
        </w:rPr>
        <w:t xml:space="preserve">Near-invisible to the market: </w:t>
      </w:r>
      <w:r>
        <w:rPr>
          <w:rFonts w:ascii="Open Sans" w:cs="Open Sans" w:eastAsia="Open Sans" w:hAnsi="Open Sans"/>
          <w:b w:val="false"/>
          <w:bCs w:val="false"/>
          <w:color w:val="59595B"/>
          <w:sz w:val="21"/>
          <w:szCs w:val="21"/>
        </w:rPr>
        <w:t xml:space="preserve">a thin, single-narrative website, ~122 LinkedIn followers, and almost no search or review presence — the clearest, lowest-cost place to start.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rPr>
          <w:cantSplit/>
        </w:trP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AAC8" w:val="clear"/>
          </w:tcPr>
          <w:p>
            <w:r>
              <w:t xml:space="preserve"/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50"/>
              <w:left w:type="dxa" w:w="230"/>
              <w:bottom w:type="dxa" w:w="150"/>
              <w:right w:type="dxa" w:w="190"/>
            </w:tcMar>
          </w:tcPr>
          <w:p>
            <w:pPr>
              <w:keepNext/>
              <w:keepLines/>
              <w:spacing w:after="70" w:before="80"/>
            </w:pPr>
            <w:r>
              <w:rPr>
                <w:rFonts w:ascii="Open Sans" w:cs="Open Sans" w:eastAsia="Open Sans" w:hAnsi="Open Sans"/>
                <w:b/>
                <w:bCs/>
                <w:color w:val="1EAAC8"/>
                <w:sz w:val="22"/>
                <w:szCs w:val="22"/>
              </w:rPr>
              <w:t xml:space="preserve">The one idea</w:t>
            </w:r>
          </w:p>
          <w:p>
            <w:pPr>
              <w:keepNext w:val="false"/>
              <w:keepLines/>
              <w:spacing w:after="50" w:before="40" w:line="296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Multipoint sits in the rarest quadrant in its market: high capability, low visibility. Competitors are either visible-but-ordinary or scaled-but-generic. The move is not to build more capability — it already has that — but to become as findable as it is good. That is a solvable, fast problem.</w:t>
            </w:r>
          </w:p>
        </w:tc>
      </w:tr>
    </w:tbl>
    <w:p>
      <w:pPr>
        <w:pStyle w:val="Heading2"/>
        <w:keepNext/>
        <w:keepLines/>
        <w:spacing w:after="110" w:before="260"/>
      </w:pPr>
      <w:r>
        <w:rPr>
          <w:rFonts w:ascii="Open Sans" w:cs="Open Sans" w:eastAsia="Open Sans" w:hAnsi="Open Sans"/>
          <w:b/>
          <w:bCs/>
          <w:color w:val="006DB6"/>
          <w:sz w:val="26"/>
          <w:szCs w:val="26"/>
        </w:rPr>
        <w:t xml:space="preserve">The engine</w:t>
      </w:r>
    </w:p>
    <w:p>
      <w:pPr>
        <w:keepNext/>
        <w:spacing w:after="60" w:before="0" w:line="318"/>
        <w:jc w:val="both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Three columns: get found for what you already do, capture that traffic into qualified pipeline, and win named media accounts — each delivered by a specific Technijian service.</w:t>
      </w:r>
    </w:p>
    <w:p>
      <w:pPr>
        <w:keepNext w:val="false"/>
        <w:spacing w:after="60" w:before="100"/>
        <w:jc w:val="center"/>
      </w:pPr>
      <w:r>
        <w:drawing>
          <wp:inline distT="0" distB="0" distL="0" distR="0">
            <wp:extent cx="5715000" cy="3581400"/>
            <wp:effectExtent t="0" r="0" b="0" l="0"/>
            <wp:docPr id="1" name="AI growth engine" descr="AI growth engine" title="AI growth eng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keepLines/>
        <w:spacing w:after="110" w:before="260"/>
      </w:pPr>
      <w:r>
        <w:rPr>
          <w:rFonts w:ascii="Open Sans" w:cs="Open Sans" w:eastAsia="Open Sans" w:hAnsi="Open Sans"/>
          <w:b/>
          <w:bCs/>
          <w:color w:val="006DB6"/>
          <w:sz w:val="26"/>
          <w:szCs w:val="26"/>
        </w:rPr>
        <w:t xml:space="preserve">Investment &amp; the path forward</w:t>
      </w:r>
    </w:p>
    <w:p>
      <w:pPr>
        <w:spacing w:after="100" w:before="0" w:line="318"/>
        <w:jc w:val="both"/>
      </w:pPr>
      <w:r>
        <w:rPr>
          <w:rFonts w:ascii="Open Sans" w:cs="Open Sans" w:eastAsia="Open Sans" w:hAnsi="Open Sans"/>
          <w:b/>
          <w:bCs/>
          <w:i w:val="false"/>
          <w:iCs w:val="false"/>
          <w:color w:val="1A1A2E"/>
          <w:sz w:val="22"/>
          <w:szCs w:val="22"/>
        </w:rPr>
        <w:t xml:space="preserve">No invented numbers.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We price from real, published Technijian service ranges (My SEO, My AI Lead Gen, My Dev) and model ROI only after discovery — on qualified leads, win rate, and average engagement value, not a guessed revenue figure. With large deal sizes and a near-empty pipeline, even a modest lift in visibility is high-impact. The path is land-and-expand: get found first, then build the demand engine and account-based outbound.</w:t>
      </w:r>
    </w:p>
    <w:p>
      <w:pPr>
        <w:keepNext w:val="false"/>
        <w:spacing w:after="110" w:before="0" w:line="318"/>
        <w:jc w:val="both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We are not here to out-engineer you — your AI/ML work is ahead of most. We are here to out-market for you. The easiest first step is a short, peer-to-peer conversation, or a free visibility assessment — your search footprint, AI-assistant citations, and the gap to your nearest visible competitor. The full blueprint ends with a structured questionnaire — "Questions to Complete the Analysis" — that turns this summary into a costed plan.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rPr>
          <w:cantSplit/>
        </w:trP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B6" w:val="clear"/>
          </w:tcPr>
          <w:p>
            <w:r>
              <w:t xml:space="preserve"/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50"/>
              <w:left w:type="dxa" w:w="230"/>
              <w:bottom w:type="dxa" w:w="150"/>
              <w:right w:type="dxa" w:w="190"/>
            </w:tcMar>
          </w:tcPr>
          <w:p>
            <w:pPr>
              <w:keepNext/>
              <w:keepLines/>
              <w:spacing w:after="70" w:before="80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22"/>
                <w:szCs w:val="22"/>
              </w:rPr>
              <w:t xml:space="preserve">Start the conversation</w:t>
            </w:r>
          </w:p>
          <w:p>
            <w:pPr>
              <w:keepNext w:val="false"/>
              <w:keepLines/>
              <w:spacing w:after="50" w:before="40" w:line="296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Ravi Jain, Founder &amp; CEO  ·  rjain@technijian.com  ·  949.379.8499  ·  technijian.com  ·  technology as a solution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700" w:right="1440" w:bottom="13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Open Sans" w:cs="Open Sans" w:eastAsia="Open Sans" w:hAnsi="Open Sans"/>
        <w:b/>
        <w:bCs/>
        <w:color w:val="59595B"/>
        <w:sz w:val="16"/>
        <w:szCs w:val="16"/>
      </w:rPr>
      <w:t xml:space="preserve">Technijian</w:t>
    </w:r>
    <w:r>
      <w:rPr>
        <w:rFonts w:ascii="Open Sans" w:cs="Open Sans" w:eastAsia="Open Sans" w:hAnsi="Open Sans"/>
        <w:color w:val="59595B"/>
        <w:sz w:val="16"/>
        <w:szCs w:val="16"/>
      </w:rPr>
      <w:t xml:space="preserve">  ·  technology as a solution  ·  technijian.com  ·  +1 949.379.8499  ·  CONFIDENTIAL  ·  Page </w:t>
    </w:r>
    <w:r>
      <w:rPr>
        <w:rFonts w:ascii="Open Sans" w:cs="Open Sans" w:eastAsia="Open Sans" w:hAnsi="Open Sans"/>
        <w:color w:val="59595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006DB6" w:sz="6"/>
        <w:right w:val="none" w:color="FFFFFF" w:sz="0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drawing>
              <wp:inline distT="0" distB="0" distL="0" distR="0">
                <wp:extent cx="1181100" cy="247650"/>
                <wp:effectExtent t="0" r="0" b="0" l="0"/>
                <wp:docPr id="1" name="Technijian Logo" descr="Technijian Logo" title="Technijia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1100" cy="247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rFonts w:ascii="Open Sans" w:cs="Open Sans" w:eastAsia="Open Sans" w:hAnsi="Open Sans"/>
              <w:color w:val="59595B"/>
              <w:sz w:val="16"/>
              <w:szCs w:val="16"/>
            </w:rPr>
            <w:t xml:space="preserve">Multipoint Network  ·  Executive Summary</w:t>
          </w:r>
        </w:p>
      </w:tc>
    </w:tr>
  </w:tbl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59595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10" w:before="260"/>
      <w:outlineLvl w:val="1"/>
    </w:pPr>
    <w:rPr>
      <w:rFonts w:ascii="Open Sans" w:cs="Open Sans" w:eastAsia="Open Sans" w:hAnsi="Open Sans"/>
      <w:b/>
      <w:bCs/>
      <w:color w:val="006D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3103d8b7cd0eed7467432b2205de7bc29f677af.png"/><Relationship Id="rId10" Type="http://schemas.openxmlformats.org/officeDocument/2006/relationships/image" Target="media/5b76d3de1cdbaa4cfbb3a4105a8854e08aab28b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3103d8b7cd0eed7467432b2205de7bc29f677a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Multipoint Network — Executive Summary</dc:title>
  <dc:creator>Technijian</dc:creator>
  <dc:description>Forwardable executive summary for Multipoint Network, prepared by Technijian.</dc:description>
  <cp:lastModifiedBy>Un-named</cp:lastModifiedBy>
  <cp:revision>1</cp:revision>
  <dcterms:created xsi:type="dcterms:W3CDTF">2026-06-17T16:41:16.949Z</dcterms:created>
  <dcterms:modified xsi:type="dcterms:W3CDTF">2026-06-17T16:41:16.951Z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