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DB6" w:val="clear"/>
          </w:tcPr>
          <w:p>
            <w:pPr>
              <w:spacing w:after="0" w:before="100"/>
            </w:pPr>
            <w:r>
              <w:t xml:space="preserve"/>
            </w:r>
          </w:p>
        </w:tc>
      </w:tr>
    </w:tbl>
    <w:p>
      <w:pPr>
        <w:spacing w:after="0" w:before="300"/>
      </w:pPr>
      <w:r>
        <w:t xml:space="preserve"/>
      </w:r>
    </w:p>
    <w:p>
      <w:pPr>
        <w:jc w:val="center"/>
      </w:pPr>
      <w:r>
        <w:drawing>
          <wp:inline distT="0" distB="0" distL="0" distR="0">
            <wp:extent cx="1905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400050"/>
                    </a:xfrm>
                    <a:prstGeom prst="rect">
                      <a:avLst/>
                    </a:prstGeom>
                  </pic:spPr>
                </pic:pic>
              </a:graphicData>
            </a:graphic>
          </wp:inline>
        </w:drawing>
      </w:r>
    </w:p>
    <w:p>
      <w:pPr>
        <w:spacing w:after="0" w:before="200"/>
      </w:pPr>
      <w:r>
        <w:t xml:space="preserve"/>
      </w:r>
    </w:p>
    <w:p>
      <w:pPr>
        <w:spacing w:after="40"/>
        <w:jc w:val="center"/>
      </w:pPr>
      <w:r>
        <w:rPr>
          <w:rFonts w:ascii="Open Sans" w:cs="Open Sans" w:eastAsia="Open Sans" w:hAnsi="Open Sans"/>
          <w:b/>
          <w:bCs/>
          <w:color w:val="1A1A2E"/>
          <w:sz w:val="36"/>
          <w:szCs w:val="36"/>
        </w:rPr>
        <w:t xml:space="preserve">DISRUPTIX TALENT SOLUTIONS</w:t>
      </w:r>
    </w:p>
    <w:p>
      <w:pPr>
        <w:spacing w:after="60"/>
        <w:jc w:val="center"/>
      </w:pPr>
      <w:r>
        <w:rPr>
          <w:rFonts w:ascii="Open Sans" w:cs="Open Sans" w:eastAsia="Open Sans" w:hAnsi="Open Sans"/>
          <w:color w:val="006DB6"/>
          <w:sz w:val="28"/>
          <w:szCs w:val="28"/>
        </w:rPr>
        <w:t xml:space="preserve">AI Growth Plan  ·  Executive Summary</w:t>
      </w:r>
    </w:p>
    <w:p>
      <w:pPr>
        <w:spacing w:after="180"/>
        <w:jc w:val="center"/>
      </w:pPr>
      <w:r>
        <w:rPr>
          <w:rFonts w:ascii="Open Sans" w:cs="Open Sans" w:eastAsia="Open Sans" w:hAnsi="Open Sans"/>
          <w:color w:val="59595B"/>
          <w:sz w:val="20"/>
          <w:szCs w:val="20"/>
        </w:rPr>
        <w:t xml:space="preserve">Prepared by Technijian  ·  2026-05-28</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006DB6"/>
                <w:sz w:val="40"/>
                <w:szCs w:val="40"/>
              </w:rPr>
              <w:t xml:space="preserve">25+ yrs</w:t>
            </w:r>
          </w:p>
          <w:p>
            <w:pPr>
              <w:spacing w:after="0"/>
              <w:jc w:val="center"/>
            </w:pPr>
            <w:r>
              <w:rPr>
                <w:rFonts w:ascii="Open Sans" w:cs="Open Sans" w:eastAsia="Open Sans" w:hAnsi="Open Sans"/>
                <w:color w:val="59595B"/>
                <w:sz w:val="16"/>
                <w:szCs w:val="16"/>
              </w:rPr>
              <w:t xml:space="preserve">SoCal Acct/Finance Market</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F67D4B"/>
                <w:sz w:val="40"/>
                <w:szCs w:val="40"/>
              </w:rPr>
              <w:t xml:space="preserve">48–72 hrs</w:t>
            </w:r>
          </w:p>
          <w:p>
            <w:pPr>
              <w:spacing w:after="0"/>
              <w:jc w:val="center"/>
            </w:pPr>
            <w:r>
              <w:rPr>
                <w:rFonts w:ascii="Open Sans" w:cs="Open Sans" w:eastAsia="Open Sans" w:hAnsi="Open Sans"/>
                <w:color w:val="59595B"/>
                <w:sz w:val="16"/>
                <w:szCs w:val="16"/>
              </w:rPr>
              <w:t xml:space="preserve">Typical Contract Placement</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1EAAC8"/>
                <w:sz w:val="40"/>
                <w:szCs w:val="40"/>
              </w:rPr>
              <w:t xml:space="preserve">SD + OC</w:t>
            </w:r>
          </w:p>
          <w:p>
            <w:pPr>
              <w:spacing w:after="0"/>
              <w:jc w:val="center"/>
            </w:pPr>
            <w:r>
              <w:rPr>
                <w:rFonts w:ascii="Open Sans" w:cs="Open Sans" w:eastAsia="Open Sans" w:hAnsi="Open Sans"/>
                <w:color w:val="59595B"/>
                <w:sz w:val="16"/>
                <w:szCs w:val="16"/>
              </w:rPr>
              <w:t xml:space="preserve">Markets Served Today</w:t>
            </w:r>
          </w:p>
        </w:tc>
        <w:tc>
          <w:tcPr>
            <w:tcW w:type="dxa" w:w="2340"/>
            <w:tcBorders>
              <w:top w:val="none" w:color="FFFFFF" w:sz="0"/>
              <w:left w:val="none" w:color="FFFFFF" w:sz="0"/>
              <w:bottom w:val="none" w:color="FFFFFF" w:sz="0"/>
              <w:right w:val="none" w:color="FFFFFF" w:sz="0"/>
            </w:tcBorders>
            <w:shd w:fill="F8F9FA" w:val="clear"/>
            <w:tcMar>
              <w:top w:type="dxa" w:w="160"/>
              <w:left w:type="dxa" w:w="100"/>
              <w:bottom w:type="dxa" w:w="160"/>
              <w:right w:type="dxa" w:w="100"/>
            </w:tcMar>
            <w:vAlign w:val="center"/>
          </w:tcPr>
          <w:p>
            <w:pPr>
              <w:spacing w:after="40"/>
              <w:jc w:val="center"/>
            </w:pPr>
            <w:r>
              <w:rPr>
                <w:rFonts w:ascii="Open Sans" w:cs="Open Sans" w:eastAsia="Open Sans" w:hAnsi="Open Sans"/>
                <w:b/>
                <w:bCs/>
                <w:color w:val="C9922A"/>
                <w:sz w:val="40"/>
                <w:szCs w:val="40"/>
              </w:rPr>
              <w:t xml:space="preserve">KeyMatch</w:t>
            </w:r>
          </w:p>
          <w:p>
            <w:pPr>
              <w:spacing w:after="0"/>
              <w:jc w:val="center"/>
            </w:pPr>
            <w:r>
              <w:rPr>
                <w:rFonts w:ascii="Open Sans" w:cs="Open Sans" w:eastAsia="Open Sans" w:hAnsi="Open Sans"/>
                <w:color w:val="59595B"/>
                <w:sz w:val="16"/>
                <w:szCs w:val="16"/>
              </w:rPr>
              <w:t xml:space="preserve">Proprietary Client Portal · Live</w:t>
            </w:r>
          </w:p>
        </w:tc>
      </w:tr>
    </w:tbl>
    <w:p>
      <w:pPr>
        <w:spacing w:after="0" w:before="240"/>
      </w:pPr>
      <w:r>
        <w:t xml:space="preserve"/>
      </w:r>
    </w:p>
    <w:p>
      <w:pPr>
        <w:pStyle w:val="Heading1"/>
        <w:keepNext/>
        <w:spacing w:after="120" w:before="320" w:line="240"/>
      </w:pPr>
      <w:r>
        <w:rPr>
          <w:rFonts w:ascii="Open Sans" w:cs="Open Sans" w:eastAsia="Open Sans" w:hAnsi="Open Sans"/>
          <w:color w:val="FFFFFF"/>
          <w:sz w:val="2"/>
          <w:szCs w:val="2"/>
        </w:rPr>
        <w:t xml:space="preserve">The Opportunity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The Opportunity</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DisruptiX has the rare hard things in this category. A CPA founder who served as Managing Partner of Vaco Orange County and speaks the language of both sides of every conversation. A proprietary client portal, KeyMatch, that already promises full visibility into the recruitment process. A 48-to-72-hour contract-placement velocity that sits ahead of the boutique average. And a tagline, "Driving excellence through transparency," that is rare in a category where most firms still run a black-box ATS.</w:t>
      </w:r>
    </w:p>
    <w:p>
      <w:pPr>
        <w:spacing w:after="140" w:before="0" w:line="320"/>
        <w:jc w:val="both"/>
      </w:pPr>
      <w:r>
        <w:rPr>
          <w:rFonts w:ascii="Open Sans" w:cs="Open Sans" w:eastAsia="Open Sans" w:hAnsi="Open Sans"/>
          <w:b w:val="false"/>
          <w:bCs w:val="false"/>
          <w:i w:val="false"/>
          <w:iCs w:val="false"/>
          <w:color w:val="59595B"/>
          <w:sz w:val="22"/>
          <w:szCs w:val="22"/>
        </w:rPr>
        <w:t xml:space="preserve">The growth gap is somewhere else. Boutique accounting and finance staffing in 2026 is governed by three forces a one-to-ten-person team cannot keep up with by hand, and AI is the lever on each one. The search bandwidth ceiling that forces silent triage of the harder mandates. The SoCal mid-market trigger queue, where new fundings, CFO transitions, IPO filings, PE acquisitions, and audit-firm changes decide who calls first when a finance seat opens. And the compliance surface around AI in hiring, where EEOC technical assistance, NYC Local Law 144, the proposed California SB 7, and the RealPage doctrine on algorithmic pricing all draw a clear line between AI that augments a recruiter and AI that replaces one.</w:t>
      </w:r>
    </w:p>
    <w:p>
      <w:pPr>
        <w:spacing w:after="140" w:before="0" w:line="320"/>
        <w:jc w:val="both"/>
      </w:pPr>
      <w:r>
        <w:rPr>
          <w:rFonts w:ascii="Open Sans" w:cs="Open Sans" w:eastAsia="Open Sans" w:hAnsi="Open Sans"/>
          <w:b w:val="false"/>
          <w:bCs w:val="false"/>
          <w:i w:val="false"/>
          <w:iCs w:val="false"/>
          <w:color w:val="59595B"/>
          <w:sz w:val="22"/>
          <w:szCs w:val="22"/>
        </w:rPr>
        <w:t xml:space="preserve">The category at scale, Robert Half and Vaco and Kforce and Randstad, has the scale and a partial AI investment but is uniformly behind on transparency-as-tech and on AI-buyer-experience velocity. The SoCal boutique field has neither. A CPA-led boutique with the right tagline and a working KeyMatch portal can deploy AI inside the EEOC, NYC LL 144, and antitrust boundary in 2026; a multinational cannot re-platform inside that same boundary in less than two years. That is the opening.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A1A2E"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A1A2E"/>
                <w:sz w:val="22"/>
                <w:szCs w:val="22"/>
              </w:rPr>
              <w:t xml:space="preserve">The Compliance Boundary</w:t>
            </w:r>
          </w:p>
          <w:p>
            <w:pPr>
              <w:keepNext/>
              <w:keepLines/>
              <w:spacing w:after="60" w:before="40" w:line="300"/>
            </w:pPr>
            <w:r>
              <w:rPr>
                <w:rFonts w:ascii="Open Sans" w:cs="Open Sans" w:eastAsia="Open Sans" w:hAnsi="Open Sans"/>
                <w:color w:val="59595B"/>
                <w:sz w:val="20"/>
                <w:szCs w:val="20"/>
              </w:rPr>
              <w:t xml:space="preserve">AI auto-drafts the job spec, indexes the candidate library, summarizes the reference call, watches the leadership-change signal, and remembers every prior engagement, with sources cited and inside the review-in-the-loop the regulator expects.</w:t>
            </w:r>
          </w:p>
          <w:p>
            <w:pPr>
              <w:keepNext w:val="false"/>
              <w:keepLines/>
              <w:spacing w:after="60" w:before="40" w:line="300"/>
            </w:pPr>
            <w:r>
              <w:rPr>
                <w:rFonts w:ascii="Open Sans" w:cs="Open Sans" w:eastAsia="Open Sans" w:hAnsi="Open Sans"/>
                <w:color w:val="59595B"/>
                <w:sz w:val="20"/>
                <w:szCs w:val="20"/>
              </w:rPr>
              <w:t xml:space="preserve">AI never makes the hiring decision, never adjudicates a protected-class question, and never sets a rate in an antitrust-sensitive way. The recruiter and the client own each decision, in writing, outside the regulatory and antitrust risk entirely.</w:t>
            </w:r>
          </w:p>
        </w:tc>
      </w:tr>
    </w:tbl>
    <w:p>
      <w:r>
        <w:br w:type="page"/>
      </w:r>
    </w:p>
    <w:p>
      <w:pPr>
        <w:pStyle w:val="Heading1"/>
        <w:keepNext/>
        <w:spacing w:after="120" w:before="320" w:line="240"/>
      </w:pPr>
      <w:r>
        <w:rPr>
          <w:rFonts w:ascii="Open Sans" w:cs="Open Sans" w:eastAsia="Open Sans" w:hAnsi="Open Sans"/>
          <w:color w:val="FFFFFF"/>
          <w:sz w:val="2"/>
          <w:szCs w:val="2"/>
        </w:rPr>
        <w:t xml:space="preserve">How AI Transforms DisruptiX’s Growth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AI Transforms DisruptiX’s Growth Engine</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engine runs three motions at once. The first fills the top of the named-account funnel by getting DisruptiX cited in the AI answers SoCal CFOs and operating partners now ask for first. The second is the matching and screening core that turns KeyMatch into a platform the giants cannot match inside the EEOC and NYC Local Law 144 boundary. The third protects supply and demand together, holding the consultant pool warm between placements and the employer accounts past the first search.</w:t>
      </w:r>
    </w:p>
    <w:p>
      <w:pPr>
        <w:spacing w:after="0" w:before="120"/>
      </w:pPr>
      <w:r>
        <w:t xml:space="preserve"/>
      </w:r>
    </w:p>
    <w:p>
      <w:pPr>
        <w:spacing w:after="80" w:before="120"/>
        <w:jc w:val="center"/>
      </w:pPr>
      <w:r>
        <w:drawing>
          <wp:inline distT="0" distB="0" distL="0" distR="0">
            <wp:extent cx="5715000" cy="3552825"/>
            <wp:effectExtent t="0" r="0" b="0" l="0"/>
            <wp:docPr id="1" name="The DisruptiX AI Growth Engine" descr="The DisruptiX AI Growth Engine" title="The DisruptiX AI Growth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52825"/>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The Engine: Get Found &amp; Cited, Match Faster &amp; Better, and Keep &amp; Grow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Get Found &amp; Cited</w:t>
            </w:r>
          </w:p>
          <w:p>
            <w:pPr>
              <w:keepNext w:val="false"/>
              <w:keepLines/>
              <w:spacing w:after="60" w:before="40" w:line="300"/>
            </w:pPr>
            <w:r>
              <w:rPr>
                <w:rFonts w:ascii="Open Sans" w:cs="Open Sans" w:eastAsia="Open Sans" w:hAnsi="Open Sans"/>
                <w:color w:val="59595B"/>
                <w:sz w:val="20"/>
                <w:szCs w:val="20"/>
              </w:rPr>
              <w:t xml:space="preserve">Own AI-search citations on the procurement queries that matter: best CFO recruiter Orange County, fractional Controller Costa Mesa, SOX consultant Southern California, interim CFO Newport Beach. Publish category authority content on SoCal CFO compensation, the fractional CFO playbook, and the first-CFO hiring runbook. Lift the founder LinkedIn cadence with Jen’s voice on the topics that compound.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Match Faster &amp; Better — KeyMatch v2</w:t>
            </w:r>
          </w:p>
          <w:p>
            <w:pPr>
              <w:keepNext w:val="false"/>
              <w:keepLines/>
              <w:spacing w:after="60" w:before="40" w:line="300"/>
            </w:pPr>
            <w:r>
              <w:rPr>
                <w:rFonts w:ascii="Open Sans" w:cs="Open Sans" w:eastAsia="Open Sans" w:hAnsi="Open Sans"/>
                <w:color w:val="59595B"/>
                <w:sz w:val="20"/>
                <w:szCs w:val="20"/>
              </w:rPr>
              <w:t xml:space="preserve">Extend KeyMatch with an AI matching engine over the candidate pool, with recruiter-in-the-loop review and an audit-logged rationale for every match. Add an AI job-spec generator that turns an intake call into a JD in five minutes, an AI candidate one-pager that turns a resume into a recruiter brief, and an AI pre-screen and reference summarizer that turns three calls into one synthesized brief. NYC Local Law 144-ready bias-audit posture from day 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Keep &amp; Grow</w:t>
            </w:r>
          </w:p>
          <w:p>
            <w:pPr>
              <w:keepNext w:val="false"/>
              <w:keepLines/>
              <w:spacing w:after="60" w:before="40" w:line="300"/>
            </w:pPr>
            <w:r>
              <w:rPr>
                <w:rFonts w:ascii="Open Sans" w:cs="Open Sans" w:eastAsia="Open Sans" w:hAnsi="Open Sans"/>
                <w:color w:val="59595B"/>
                <w:sz w:val="20"/>
                <w:szCs w:val="20"/>
              </w:rPr>
              <w:t xml:space="preserve">Keep every prior search debrief, candidate preference, client comp note, and reference summary in a searchable team memory. Stand up a consultant-care engine that holds the supply side warm between placements. Watch account-renewal triggers and recover eight to twelve recruiter hours per week. The boutique punches above weight class without expanding headcount.</w:t>
            </w:r>
          </w:p>
        </w:tc>
      </w:tr>
    </w:tbl>
    <w:p>
      <w:r>
        <w:br w:type="page"/>
      </w:r>
    </w:p>
    <w:p>
      <w:pPr>
        <w:pStyle w:val="Heading1"/>
        <w:keepNext/>
        <w:spacing w:after="120" w:before="320" w:line="240"/>
      </w:pPr>
      <w:r>
        <w:rPr>
          <w:rFonts w:ascii="Open Sans" w:cs="Open Sans" w:eastAsia="Open Sans" w:hAnsi="Open Sans"/>
          <w:color w:val="FFFFFF"/>
          <w:sz w:val="2"/>
          <w:szCs w:val="2"/>
        </w:rPr>
        <w:t xml:space="preserve">The Program — Start Small, Expand as It Proves 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F67D4B"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F67D4B"/>
                <w:sz w:val="34"/>
                <w:szCs w:val="34"/>
              </w:rPr>
              <w:t xml:space="preserve">The Program — Start Small, Expand as It Proves Out</w:t>
            </w:r>
          </w:p>
        </w:tc>
      </w:tr>
    </w:tbl>
    <w:p>
      <w:pPr>
        <w:spacing w:after="0" w:before="10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program leads with a small, low-commitment entry that pays for itself on the highest near-term levers, additional placements won and recruiter hours recovered, with no large build to begin. The KeyMatch v2 expansion build comes second, once the entry proves the lift. Productizing KeyMatch as a sellable SaaS for peer boutiques is the Phase-3 upside, not the Year-1 ask.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2"/>
        <w:gridCol w:w="2184"/>
        <w:gridCol w:w="2184"/>
      </w:tblGrid>
      <w:tr>
        <w:trPr>
          <w:cantSplit/>
          <w:tblHeader/>
        </w:trPr>
        <w:tc>
          <w:tcPr>
            <w:tcW w:type="dxa" w:w="4992"/>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Service</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Monthly</w:t>
            </w:r>
          </w:p>
        </w:tc>
        <w:tc>
          <w:tcPr>
            <w:tcW w:type="dxa" w:w="2184"/>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Y1</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SEO — AI-Search Authority + Founder LinkedIn Cadence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$1,250</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$15,000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Lead Gen — Named-Account ABM (Starter)</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$1,000</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$12,000</w:t>
            </w:r>
          </w:p>
        </w:tc>
      </w:tr>
      <w:tr>
        <w:trPr>
          <w:cantSplit/>
        </w:trPr>
        <w:tc>
          <w:tcPr>
            <w:tcW w:type="dxa" w:w="4992"/>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My AI — Readiness + Executive Workshop (one-time)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w:t>
            </w:r>
          </w:p>
        </w:tc>
        <w:tc>
          <w:tcPr>
            <w:tcW w:type="dxa" w:w="2184"/>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$5,000</w:t>
            </w:r>
          </w:p>
        </w:tc>
      </w:tr>
      <w:tr>
        <w:trPr>
          <w:cantSplit/>
        </w:trPr>
        <w:tc>
          <w:tcPr>
            <w:tcW w:type="dxa" w:w="4992"/>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ENTRY PROGRAM — Phase 1 (start here)</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$2,250/mo + workshop</w:t>
            </w:r>
          </w:p>
        </w:tc>
        <w:tc>
          <w:tcPr>
            <w:tcW w:type="dxa" w:w="2184"/>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F67D4B"/>
                <w:sz w:val="20"/>
                <w:szCs w:val="20"/>
              </w:rPr>
              <w:t xml:space="preserve">~$32,000</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80"/>
        <w:gridCol w:w="1826"/>
        <w:gridCol w:w="1826"/>
        <w:gridCol w:w="1828"/>
      </w:tblGrid>
      <w:tr>
        <w:trPr>
          <w:cantSplit/>
          <w:tblHeader/>
        </w:trPr>
        <w:tc>
          <w:tcPr>
            <w:tcW w:type="dxa" w:w="3880"/>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left"/>
            </w:pPr>
            <w:r>
              <w:rPr>
                <w:rFonts w:ascii="Open Sans" w:cs="Open Sans" w:eastAsia="Open Sans" w:hAnsi="Open Sans"/>
                <w:b/>
                <w:bCs/>
                <w:color w:val="FFFFFF"/>
                <w:sz w:val="20"/>
                <w:szCs w:val="20"/>
              </w:rPr>
              <w:t xml:space="preserve">Y1 Lever (Estimated, 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Conservative</w:t>
            </w:r>
          </w:p>
        </w:tc>
        <w:tc>
          <w:tcPr>
            <w:tcW w:type="dxa" w:w="1826"/>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Target</w:t>
            </w:r>
          </w:p>
        </w:tc>
        <w:tc>
          <w:tcPr>
            <w:tcW w:type="dxa" w:w="1828"/>
            <w:tcBorders>
              <w:top w:val="single" w:color="E9ECEF" w:sz="4"/>
              <w:left w:val="single" w:color="E9ECEF" w:sz="4"/>
              <w:bottom w:val="single" w:color="E9ECEF" w:sz="4"/>
              <w:right w:val="single" w:color="E9ECEF" w:sz="4"/>
            </w:tcBorders>
            <w:shd w:fill="006DB6" w:val="clear"/>
            <w:tcMar>
              <w:top w:type="dxa" w:w="120"/>
              <w:left w:type="dxa" w:w="140"/>
              <w:bottom w:type="dxa" w:w="120"/>
              <w:right w:type="dxa" w:w="140"/>
            </w:tcMar>
            <w:vAlign w:val="center"/>
          </w:tcPr>
          <w:p>
            <w:pPr>
              <w:jc w:val="center"/>
            </w:pPr>
            <w:r>
              <w:rPr>
                <w:rFonts w:ascii="Open Sans" w:cs="Open Sans" w:eastAsia="Open Sans" w:hAnsi="Open Sans"/>
                <w:b/>
                <w:bCs/>
                <w:color w:val="FFFFFF"/>
                <w:sz w:val="20"/>
                <w:szCs w:val="20"/>
              </w:rPr>
              <w:t xml:space="preserve">Aggressive</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Added direct-hire revenue (+2/+4/+7 wins × $22K)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+$44K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+$88K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+$154K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Added contract-consulting margin (+3/+6/+10 × $12K)</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+$36K</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+$72K</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+$120K</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val="false"/>
                <w:bCs w:val="false"/>
                <w:color w:val="59595B"/>
                <w:sz w:val="20"/>
                <w:szCs w:val="20"/>
              </w:rPr>
              <w:t xml:space="preserve">Recruiter hours recovered (loaded at ~$80/hr)</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+$15K</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+$35K</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val="false"/>
                <w:bCs w:val="false"/>
                <w:color w:val="59595B"/>
                <w:sz w:val="20"/>
                <w:szCs w:val="20"/>
              </w:rPr>
              <w:t xml:space="preserve">+$66K</w:t>
            </w:r>
          </w:p>
        </w:tc>
      </w:tr>
      <w:tr>
        <w:trPr>
          <w:cantSplit/>
        </w:trPr>
        <w:tc>
          <w:tcPr>
            <w:tcW w:type="dxa" w:w="3880"/>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left"/>
            </w:pPr>
            <w:r>
              <w:rPr>
                <w:rFonts w:ascii="Open Sans" w:cs="Open Sans" w:eastAsia="Open Sans" w:hAnsi="Open Sans"/>
                <w:b/>
                <w:bCs/>
                <w:color w:val="59595B"/>
                <w:sz w:val="20"/>
                <w:szCs w:val="20"/>
              </w:rPr>
              <w:t xml:space="preserve">Total Y1 value (entry program)</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+$95K</w:t>
            </w:r>
          </w:p>
        </w:tc>
        <w:tc>
          <w:tcPr>
            <w:tcW w:type="dxa" w:w="1826"/>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+$195K</w:t>
            </w:r>
          </w:p>
        </w:tc>
        <w:tc>
          <w:tcPr>
            <w:tcW w:type="dxa" w:w="1828"/>
            <w:tcBorders>
              <w:top w:val="single" w:color="E9ECEF" w:sz="4"/>
              <w:left w:val="single" w:color="E9ECEF" w:sz="4"/>
              <w:bottom w:val="single" w:color="E9ECEF" w:sz="4"/>
              <w:right w:val="single" w:color="E9ECEF" w:sz="4"/>
            </w:tcBorders>
            <w:shd w:fill="F8F9FA" w:val="clear"/>
            <w:tcMar>
              <w:top w:type="dxa" w:w="100"/>
              <w:left w:type="dxa" w:w="140"/>
              <w:bottom w:type="dxa" w:w="100"/>
              <w:right w:type="dxa" w:w="140"/>
            </w:tcMar>
            <w:vAlign w:val="center"/>
          </w:tcPr>
          <w:p>
            <w:pPr>
              <w:jc w:val="center"/>
            </w:pPr>
            <w:r>
              <w:rPr>
                <w:rFonts w:ascii="Open Sans" w:cs="Open Sans" w:eastAsia="Open Sans" w:hAnsi="Open Sans"/>
                <w:b/>
                <w:bCs/>
                <w:color w:val="59595B"/>
                <w:sz w:val="20"/>
                <w:szCs w:val="20"/>
              </w:rPr>
              <w:t xml:space="preserve">+$340K</w:t>
            </w:r>
          </w:p>
        </w:tc>
      </w:tr>
      <w:tr>
        <w:trPr>
          <w:cantSplit/>
        </w:trPr>
        <w:tc>
          <w:tcPr>
            <w:tcW w:type="dxa" w:w="3880"/>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left"/>
            </w:pPr>
            <w:r>
              <w:rPr>
                <w:rFonts w:ascii="Open Sans" w:cs="Open Sans" w:eastAsia="Open Sans" w:hAnsi="Open Sans"/>
                <w:b/>
                <w:bCs/>
                <w:color w:val="006DB6"/>
                <w:sz w:val="20"/>
                <w:szCs w:val="20"/>
              </w:rPr>
              <w:t xml:space="preserve">Modeled ROI vs. $32K entry</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~3.0x</w:t>
            </w:r>
          </w:p>
        </w:tc>
        <w:tc>
          <w:tcPr>
            <w:tcW w:type="dxa" w:w="1826"/>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~6.1x</w:t>
            </w:r>
          </w:p>
        </w:tc>
        <w:tc>
          <w:tcPr>
            <w:tcW w:type="dxa" w:w="1828"/>
            <w:tcBorders>
              <w:top w:val="single" w:color="E9ECEF" w:sz="4"/>
              <w:left w:val="single" w:color="E9ECEF" w:sz="4"/>
              <w:bottom w:val="single" w:color="E9ECEF" w:sz="4"/>
              <w:right w:val="single" w:color="E9ECEF" w:sz="4"/>
            </w:tcBorders>
            <w:shd w:fill="FFFFFF" w:val="clear"/>
            <w:tcMar>
              <w:top w:type="dxa" w:w="100"/>
              <w:left w:type="dxa" w:w="140"/>
              <w:bottom w:type="dxa" w:w="100"/>
              <w:right w:type="dxa" w:w="140"/>
            </w:tcMar>
            <w:vAlign w:val="center"/>
          </w:tcPr>
          <w:p>
            <w:pPr>
              <w:jc w:val="center"/>
            </w:pPr>
            <w:r>
              <w:rPr>
                <w:rFonts w:ascii="Open Sans" w:cs="Open Sans" w:eastAsia="Open Sans" w:hAnsi="Open Sans"/>
                <w:b/>
                <w:bCs/>
                <w:color w:val="28A745"/>
                <w:sz w:val="20"/>
                <w:szCs w:val="20"/>
              </w:rPr>
              <w:t xml:space="preserve">~10.6x</w:t>
            </w:r>
          </w:p>
        </w:tc>
      </w:tr>
    </w:tbl>
    <w:p>
      <w:pPr>
        <w:spacing w:after="0" w:before="60"/>
      </w:pPr>
      <w:r>
        <w:t xml:space="preserve"/>
      </w:r>
    </w:p>
    <w:p>
      <w:pPr>
        <w:spacing w:after="140" w:before="0" w:line="320"/>
        <w:jc w:val="both"/>
      </w:pPr>
      <w:r>
        <w:rPr>
          <w:rFonts w:ascii="Open Sans" w:cs="Open Sans" w:eastAsia="Open Sans" w:hAnsi="Open Sans"/>
          <w:b w:val="false"/>
          <w:bCs w:val="false"/>
          <w:i/>
          <w:iCs/>
          <w:color w:val="59595B"/>
          <w:sz w:val="18"/>
          <w:szCs w:val="18"/>
        </w:rPr>
        <w:t xml:space="preserve">All figures are estimated and conservative; the full 40-page plan walks through every assumption and calibrates after a short discovery call. The KeyMatch v2 expansion build adds further gains the entry ratio does not count: AI matching, AI job-spec generator, AI pre-screen and reference summarizer, sales-pipeline memory, and the fractional AI advisor.</w:t>
      </w:r>
    </w:p>
    <w:p>
      <w:pPr>
        <w:spacing w:after="0" w:before="120"/>
      </w:pPr>
      <w:r>
        <w:t xml:space="preserve"/>
      </w:r>
    </w:p>
    <w:p>
      <w:pPr>
        <w:spacing w:after="80" w:before="120"/>
        <w:jc w:val="center"/>
      </w:pPr>
      <w:r>
        <w:drawing>
          <wp:inline distT="0" distB="0" distL="0" distR="0">
            <wp:extent cx="5715000" cy="2486025"/>
            <wp:effectExtent t="0" r="0" b="0" l="0"/>
            <wp:docPr id="1" name="DisruptiX 90-180-270 Day Roadmap" descr="DisruptiX 90-180-270 Day Roadmap" title="DisruptiX 90-180-270 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200" w:before="0"/>
        <w:jc w:val="center"/>
      </w:pPr>
      <w:r>
        <w:rPr>
          <w:rFonts w:ascii="Open Sans" w:cs="Open Sans" w:eastAsia="Open Sans" w:hAnsi="Open Sans"/>
          <w:i/>
          <w:iCs/>
          <w:color w:val="59595B"/>
          <w:sz w:val="18"/>
          <w:szCs w:val="18"/>
        </w:rPr>
        <w:t xml:space="preserve">90 / 180 / 270-Day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6DB6" w:val="clear"/>
            <w:tcMar>
              <w:top w:type="dxa" w:w="300"/>
              <w:left w:type="dxa" w:w="400"/>
              <w:bottom w:type="dxa" w:w="300"/>
              <w:right w:type="dxa" w:w="400"/>
            </w:tcMar>
          </w:tcPr>
          <w:p>
            <w:pPr>
              <w:spacing w:after="100"/>
              <w:jc w:val="center"/>
            </w:pPr>
            <w:r>
              <w:rPr>
                <w:rFonts w:ascii="Open Sans" w:cs="Open Sans" w:eastAsia="Open Sans" w:hAnsi="Open Sans"/>
                <w:b/>
                <w:bCs/>
                <w:color w:val="FFFFFF"/>
                <w:sz w:val="26"/>
                <w:szCs w:val="26"/>
              </w:rPr>
              <w:t xml:space="preserve">Next Step — 30 Minutes</w:t>
            </w:r>
          </w:p>
          <w:p>
            <w:pPr>
              <w:spacing w:after="80"/>
              <w:jc w:val="center"/>
            </w:pPr>
            <w:r>
              <w:rPr>
                <w:rFonts w:ascii="Open Sans" w:cs="Open Sans" w:eastAsia="Open Sans" w:hAnsi="Open Sans"/>
                <w:color w:val="FFFFFF"/>
                <w:sz w:val="20"/>
                <w:szCs w:val="20"/>
              </w:rPr>
              <w:t xml:space="preserve">A short discovery call to confirm scope and calibrate the plan against DisruptiX’s actual book.</w:t>
            </w:r>
          </w:p>
          <w:p>
            <w:pPr>
              <w:jc w:val="center"/>
            </w:pPr>
            <w:r>
              <w:rPr>
                <w:rFonts w:ascii="Open Sans" w:cs="Open Sans" w:eastAsia="Open Sans" w:hAnsi="Open Sans"/>
                <w:color w:val="FFFFFF"/>
                <w:sz w:val="20"/>
                <w:szCs w:val="20"/>
              </w:rPr>
              <w:t xml:space="preserve">Ravi Jain, Technijian  |  RJain@technijian.com  |  949.379.8500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Open Sans" w:cs="Open Sans" w:eastAsia="Open Sans" w:hAnsi="Open Sans"/>
        <w:color w:val="59595B"/>
        <w:sz w:val="16"/>
        <w:szCs w:val="16"/>
      </w:rPr>
      <w:t xml:space="preserve">Technijian  |  18 Technology Dr., Ste 141, Irvine, CA 92618  |  949.379.8500  |  technijian.com  |  Page </w:t>
    </w:r>
    <w:r>
      <w:rPr>
        <w:rFonts w:ascii="Open Sans" w:cs="Open Sans" w:eastAsia="Open Sans" w:hAnsi="Open Sans"/>
        <w:color w:val="59595B"/>
        <w:sz w:val="16"/>
        <w:szCs w:val="16"/>
      </w:rPr>
      <w:fldChar w:fldCharType="begin"/>
      <w:instrText xml:space="preserve">PAGE</w:instrText>
      <w:fldChar w:fldCharType="separate"/>
      <w:fldChar w:fldCharType="end"/>
    </w:r>
    <w:r>
      <w:rPr>
        <w:rFonts w:ascii="Open Sans" w:cs="Open Sans" w:eastAsia="Open Sans" w:hAnsi="Open Sans"/>
        <w:color w:val="59595B"/>
        <w:sz w:val="16"/>
        <w:szCs w:val="16"/>
      </w:rPr>
      <w:t xml:space="preserve"> of </w:t>
    </w:r>
    <w:r>
      <w:rPr>
        <w:rFonts w:ascii="Open Sans" w:cs="Open Sans" w:eastAsia="Open Sans" w:hAnsi="Open Sans"/>
        <w:color w:val="5959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Borders>
            <w:top w:val="none" w:color="FFFFFF" w:sz="0"/>
            <w:left w:val="none" w:color="FFFFFF" w:sz="0"/>
            <w:bottom w:val="none" w:color="FFFFFF" w:sz="0"/>
            <w:right w:val="none" w:color="FFFFFF" w:sz="0"/>
          </w:tcBorders>
        </w:tcPr>
        <w:p>
          <w:r>
            <w:drawing>
              <wp:inline distT="0" distB="0" distL="0" distR="0">
                <wp:extent cx="15240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323850"/>
                        </a:xfrm>
                        <a:prstGeom prst="rect">
                          <a:avLst/>
                        </a:prstGeom>
                      </pic:spPr>
                    </pic:pic>
                  </a:graphicData>
                </a:graphic>
              </wp:inline>
            </w:drawing>
          </w:r>
        </w:p>
      </w:tc>
      <w:tc>
        <w:tcPr>
          <w:tcBorders>
            <w:top w:val="none" w:color="FFFFFF" w:sz="0"/>
            <w:left w:val="none" w:color="FFFFFF" w:sz="0"/>
            <w:bottom w:val="single" w:color="006DB6" w:sz="6"/>
            <w:right w:val="none" w:color="FFFFFF" w:sz="0"/>
          </w:tcBorders>
          <w:vAlign w:val="bottom"/>
        </w:tcPr>
        <w:p>
          <w:pPr>
            <w:jc w:val="right"/>
          </w:pPr>
          <w:r>
            <w:rPr>
              <w:rFonts w:ascii="Open Sans" w:cs="Open Sans" w:eastAsia="Open Sans" w:hAnsi="Open Sans"/>
              <w:color w:val="59595B"/>
              <w:sz w:val="16"/>
              <w:szCs w:val="16"/>
            </w:rPr>
            <w:t xml:space="preserve">AI Growth Plan: Executive Summary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Open Sans" w:cs="Open Sans" w:eastAsia="Open Sans" w:hAnsi="Open Sans"/>
      <w:b/>
      <w:bCs/>
      <w:color w:val="FFFFFF"/>
      <w:sz w:val="2"/>
      <w:szCs w:val="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image" Target="media/9b62604c41b68e434a1f5af6fe7602b034b63353.png"/><Relationship Id="rId11" Type="http://schemas.openxmlformats.org/officeDocument/2006/relationships/image" Target="media/1ea89060676771a2db589ceb7e77392e7ecc1e8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2026-05-28T17:20:21.775Z</dcterms:created>
  <dcterms:modified xsi:type="dcterms:W3CDTF">2026-05-28T17:20:21.776Z</dcterms:modified>
</cp:coreProperties>
</file>

<file path=docProps/custom.xml><?xml version="1.0" encoding="utf-8"?>
<Properties xmlns="http://schemas.openxmlformats.org/officeDocument/2006/custom-properties" xmlns:vt="http://schemas.openxmlformats.org/officeDocument/2006/docPropsVTypes"/>
</file>