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left w:val="none"/>
          <w:bottom w:val="none"/>
          <w:right w:val="none"/>
          <w:insideH w:val="none"/>
          <w:insideV w:val="none"/>
        </w:tblBorders>
      </w:tblPr>
      <w:tblGrid>
        <w:gridCol w:w="12240"/>
      </w:tblGrid>
      <w:tr>
        <w:tc>
          <w:tcPr>
            <w:tcW w:type="dxa" w:w="12240"/>
            <w:tcBorders>
              <w:top w:val="none"/>
              <w:left w:val="none"/>
              <w:bottom w:val="none"/>
              <w:right w:val="none"/>
            </w:tcBorders>
            <w:shd w:fill="006DB6" w:val="clear"/>
          </w:tcPr>
          <w:p>
            <w:pPr>
              <w:spacing w:after="50" w:before="50"/>
            </w:pPr>
          </w:p>
        </w:tc>
      </w:tr>
    </w:tbl>
    <w:p>
      <w:pPr>
        <w:spacing w:before="2200"/>
      </w:pPr>
    </w:p>
    <w:p>
      <w:pPr>
        <w:spacing w:after="700"/>
        <w:jc w:val="center"/>
      </w:pPr>
      <w:r>
        <w:drawing>
          <wp:inline distT="0" distB="0" distL="0" distR="0">
            <wp:extent cx="2857500" cy="600075"/>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00075"/>
                    </a:xfrm>
                    <a:prstGeom prst="rect">
                      <a:avLst/>
                    </a:prstGeom>
                  </pic:spPr>
                </pic:pic>
              </a:graphicData>
            </a:graphic>
          </wp:inline>
        </w:drawing>
      </w:r>
    </w:p>
    <w:p>
      <w:pPr>
        <w:pBdr>
          <w:bottom w:val="single" w:color="F67D4B" w:sz="6" w:space="1"/>
        </w:pBdr>
        <w:spacing w:after="500"/>
        <w:ind w:left="3800" w:right="3800"/>
        <w:jc w:val="center"/>
      </w:pPr>
    </w:p>
    <w:p>
      <w:pPr>
        <w:spacing w:after="100"/>
        <w:jc w:val="center"/>
      </w:pPr>
      <w:r>
        <w:rPr>
          <w:rFonts w:ascii="Open Sans" w:cs="Open Sans" w:eastAsia="Open Sans" w:hAnsi="Open Sans"/>
          <w:b/>
          <w:bCs/>
          <w:color w:val="1A1A2E"/>
          <w:sz w:val="76"/>
          <w:szCs w:val="76"/>
        </w:rPr>
        <w:t xml:space="preserve">My Jian</w:t>
      </w:r>
    </w:p>
    <w:p>
      <w:pPr>
        <w:spacing w:after="240"/>
        <w:jc w:val="center"/>
      </w:pPr>
      <w:r>
        <w:rPr>
          <w:rFonts w:ascii="Open Sans" w:cs="Open Sans" w:eastAsia="Open Sans" w:hAnsi="Open Sans"/>
          <w:b/>
          <w:bCs/>
          <w:color w:val="006DB6"/>
          <w:sz w:val="30"/>
          <w:szCs w:val="30"/>
        </w:rPr>
        <w:t xml:space="preserve">Autonomous 24×7 IT Operations Agent</w:t>
      </w:r>
    </w:p>
    <w:p>
      <w:pPr>
        <w:spacing w:after="1600"/>
        <w:jc w:val="center"/>
      </w:pPr>
      <w:r>
        <w:rPr>
          <w:rFonts w:ascii="Open Sans" w:cs="Open Sans" w:eastAsia="Open Sans" w:hAnsi="Open Sans"/>
          <w:color w:val="59595B"/>
          <w:sz w:val="24"/>
          <w:szCs w:val="24"/>
        </w:rPr>
        <w:t xml:space="preserve">System Specification &amp; Architecture Reference</w:t>
      </w:r>
    </w:p>
    <w:p>
      <w:pPr>
        <w:spacing w:after="80"/>
        <w:jc w:val="center"/>
      </w:pPr>
      <w:r>
        <w:rPr>
          <w:rFonts w:ascii="Open Sans" w:cs="Open Sans" w:eastAsia="Open Sans" w:hAnsi="Open Sans"/>
          <w:b/>
          <w:bCs/>
          <w:color w:val="006DB6"/>
          <w:sz w:val="22"/>
          <w:szCs w:val="22"/>
        </w:rPr>
        <w:t xml:space="preserve">Version 3.1</w:t>
      </w:r>
    </w:p>
    <w:p>
      <w:pPr>
        <w:spacing w:after="1400"/>
        <w:jc w:val="center"/>
      </w:pPr>
      <w:r>
        <w:rPr>
          <w:rFonts w:ascii="Open Sans" w:cs="Open Sans" w:eastAsia="Open Sans" w:hAnsi="Open Sans"/>
          <w:color w:val="59595B"/>
          <w:sz w:val="22"/>
          <w:szCs w:val="22"/>
        </w:rPr>
        <w:t xml:space="preserve">May 2026</w:t>
      </w:r>
    </w:p>
    <w:p>
      <w:pPr>
        <w:spacing w:after="80"/>
        <w:jc w:val="center"/>
      </w:pPr>
      <w:r>
        <w:rPr>
          <w:rFonts w:ascii="Open Sans" w:cs="Open Sans" w:eastAsia="Open Sans" w:hAnsi="Open Sans"/>
          <w:color w:val="59595B"/>
          <w:spacing w:val="200"/>
          <w:sz w:val="18"/>
          <w:szCs w:val="18"/>
        </w:rPr>
        <w:t xml:space="preserve">CONFIDENTIAL</w:t>
      </w:r>
    </w:p>
    <w:p>
      <w:pPr>
        <w:jc w:val="center"/>
      </w:pPr>
      <w:r>
        <w:rPr>
          <w:rFonts w:ascii="Open Sans" w:cs="Open Sans" w:eastAsia="Open Sans" w:hAnsi="Open Sans"/>
          <w:color w:val="59595B"/>
          <w:sz w:val="16"/>
          <w:szCs w:val="16"/>
        </w:rPr>
        <w:t xml:space="preserve">Technijian  |  18 Technology Dr., Ste 141, Irvine, CA 92618  |  949.379.8499  |  technijian.com</w:t>
      </w:r>
    </w:p>
    <w:p>
      <w:pPr>
        <w:spacing w:before="700"/>
      </w:pPr>
    </w:p>
    <w:tbl>
      <w:tblPr>
        <w:tblW w:type="dxa" w:w="12240"/>
        <w:tblBorders>
          <w:top w:val="none"/>
          <w:left w:val="none"/>
          <w:bottom w:val="none"/>
          <w:right w:val="none"/>
          <w:insideH w:val="none"/>
          <w:insideV w:val="none"/>
        </w:tblBorders>
      </w:tblPr>
      <w:tblGrid>
        <w:gridCol w:w="12240"/>
      </w:tblGrid>
      <w:tr>
        <w:tc>
          <w:tcPr>
            <w:tcW w:type="dxa" w:w="12240"/>
            <w:tcBorders>
              <w:top w:val="none"/>
              <w:left w:val="none"/>
              <w:bottom w:val="none"/>
              <w:right w:val="none"/>
            </w:tcBorders>
            <w:shd w:fill="F67D4B" w:val="clear"/>
          </w:tcPr>
          <w:p>
            <w:pPr>
              <w:spacing w:after="40" w:before="40"/>
            </w:pPr>
          </w:p>
        </w:tc>
      </w:tr>
    </w:tbl>
    <w:p>
      <w:pPr>
        <w:sectPr>
          <w:pgSz w:w="12240" w:h="15840" w:orient="portrait"/>
          <w:pgMar w:top="0" w:right="0" w:bottom="0" w:left="0" w:header="708" w:footer="708" w:gutter="0"/>
          <w:pgNumType/>
          <w:docGrid w:linePitch="360"/>
        </w:sectPr>
      </w:pPr>
    </w:p>
    <w:p>
      <w:pPr>
        <w:pStyle w:val="Heading1"/>
        <w:spacing w:after="160"/>
      </w:pPr>
      <w:r>
        <w:rPr>
          <w:rFonts w:ascii="Open Sans" w:cs="Open Sans" w:eastAsia="Open Sans" w:hAnsi="Open Sans"/>
          <w:b/>
          <w:bCs/>
          <w:color w:val="006DB6"/>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120"/>
      </w:pPr>
      <w:r>
        <w:rPr>
          <w:rFonts w:ascii="Open Sans" w:cs="Open Sans" w:eastAsia="Open Sans" w:hAnsi="Open Sans"/>
          <w:i/>
          <w:iCs/>
          <w:color w:val="59595B"/>
          <w:sz w:val="18"/>
          <w:szCs w:val="18"/>
        </w:rPr>
        <w:t xml:space="preserve">To update the page numbers: right-click the table above in Word and choose “Update Field.”</w:t>
      </w:r>
    </w:p>
    <w:p>
      <w:r>
        <w:br w:type="page"/>
      </w:r>
    </w:p>
    <w:tbl>
      <w:tblPr>
        <w:tblW w:type="dxa" w:w="9360"/>
        <w:tblBorders>
          <w:top w:val="none"/>
          <w:left w:val="none"/>
          <w:bottom w:val="none"/>
          <w:right w:val="none"/>
          <w:insideH w:val="none"/>
          <w:insideV w:val="none"/>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100"/>
              <w:left w:type="dxa" w:w="200"/>
              <w:bottom w:type="dxa" w:w="100"/>
              <w:right w:type="dxa" w:w="0"/>
            </w:tcMar>
          </w:tcPr>
          <w:p>
            <w:pPr>
              <w:pStyle w:val="Heading1"/>
            </w:pPr>
            <w:r>
              <w:rPr>
                <w:rFonts w:ascii="Open Sans" w:cs="Open Sans" w:eastAsia="Open Sans" w:hAnsi="Open Sans"/>
                <w:b/>
                <w:bCs/>
                <w:color w:val="006DB6"/>
                <w:sz w:val="32"/>
                <w:szCs w:val="32"/>
              </w:rPr>
              <w:t xml:space="preserve">1. Executive Summary</w:t>
            </w:r>
          </w:p>
        </w:tc>
      </w:tr>
    </w:tbl>
    <w:p>
      <w:pPr>
        <w:spacing w:after="120" w:before="160"/>
      </w:pPr>
      <w:r>
        <w:rPr>
          <w:rFonts w:ascii="Open Sans" w:cs="Open Sans" w:eastAsia="Open Sans" w:hAnsi="Open Sans"/>
          <w:color w:val="59595B"/>
          <w:sz w:val="22"/>
          <w:szCs w:val="22"/>
        </w:rPr>
        <w:t xml:space="preserve">Jian is Technijian’s in-house autonomous IT operations agent. It performs the work of a Tier-1 / Tier-2 security and operations team that never sleeps: it watches every monitored platform for every client, classifies what it sees against the MITRE ATT&amp;CK framework, correlates evidence across platforms to spot coordinated attacks, opens prioritized tickets with full forensic context, assigns those tickets to the technician currently on shift, follows them through shift handover, and aggregates daily and weekly evidence into compliance and client-reporting deliverables.</w:t>
      </w:r>
    </w:p>
    <w:p>
      <w:pPr>
        <w:spacing w:after="200" w:before="0"/>
      </w:pPr>
      <w:r>
        <w:rPr>
          <w:rFonts w:ascii="Open Sans" w:cs="Open Sans" w:eastAsia="Open Sans" w:hAnsi="Open Sans"/>
          <w:color w:val="59595B"/>
          <w:sz w:val="22"/>
          <w:szCs w:val="22"/>
        </w:rPr>
        <w:t xml:space="preserve">This document specifies the system as built: its architecture, its agent inventory, the AI models that power it, its workflows, its database and memory design, and how it ingests client tickets and Microsoft Teams files. Every decision, escalation, remediation, and threshold change writes to an append-only event log, so the platform stays fully auditable.</w:t>
      </w:r>
    </w:p>
    <w:p>
      <w:pPr>
        <w:pStyle w:val="Heading2"/>
        <w:spacing w:after="120" w:before="260"/>
      </w:pPr>
      <w:r>
        <w:rPr>
          <w:rFonts w:ascii="Open Sans" w:cs="Open Sans" w:eastAsia="Open Sans" w:hAnsi="Open Sans"/>
          <w:b/>
          <w:bCs/>
          <w:color w:val="1A1A2E"/>
          <w:sz w:val="26"/>
          <w:szCs w:val="26"/>
        </w:rPr>
        <w:t xml:space="preserve">System at a glance</w:t>
      </w:r>
    </w:p>
    <w:tbl>
      <w:tblPr>
        <w:tblW w:type="dxa" w:w="9360"/>
        <w:tblBorders>
          <w:top w:val="none"/>
          <w:left w:val="none"/>
          <w:bottom w:val="none"/>
          <w:right w:val="none"/>
          <w:insideH w:val="none"/>
          <w:insideV w:val="none"/>
        </w:tblBorders>
      </w:tblPr>
      <w:tblGrid>
        <w:gridCol w:w="2340"/>
        <w:gridCol w:w="2340"/>
        <w:gridCol w:w="2340"/>
        <w:gridCol w:w="2340"/>
      </w:tblGrid>
      <w:tr>
        <w:tc>
          <w:tcPr>
            <w:tcW w:type="dxa" w:w="2340"/>
            <w:tcBorders>
              <w:top w:val="none"/>
              <w:left w:val="none"/>
              <w:bottom w:val="none"/>
              <w:right w:val="none"/>
            </w:tcBorders>
            <w:shd w:fill="F8F9FA" w:val="clear"/>
            <w:tcMar>
              <w:top w:type="dxa" w:w="140"/>
              <w:left w:type="dxa" w:w="60"/>
              <w:bottom w:type="dxa" w:w="140"/>
              <w:right w:type="dxa" w:w="60"/>
            </w:tcMar>
          </w:tcPr>
          <w:p>
            <w:pPr>
              <w:spacing w:after="40"/>
              <w:jc w:val="center"/>
            </w:pPr>
            <w:r>
              <w:rPr>
                <w:rFonts w:ascii="Open Sans" w:cs="Open Sans" w:eastAsia="Open Sans" w:hAnsi="Open Sans"/>
                <w:b/>
                <w:bCs/>
                <w:color w:val="006DB6"/>
                <w:sz w:val="48"/>
                <w:szCs w:val="48"/>
              </w:rPr>
              <w:t xml:space="preserve">24</w:t>
            </w:r>
          </w:p>
          <w:p>
            <w:pPr>
              <w:jc w:val="center"/>
            </w:pPr>
            <w:r>
              <w:rPr>
                <w:rFonts w:ascii="Open Sans" w:cs="Open Sans" w:eastAsia="Open Sans" w:hAnsi="Open Sans"/>
                <w:color w:val="59595B"/>
                <w:sz w:val="15"/>
                <w:szCs w:val="15"/>
              </w:rPr>
              <w:t xml:space="preserve">MONITORED PLATFORMS</w:t>
            </w:r>
          </w:p>
        </w:tc>
        <w:tc>
          <w:tcPr>
            <w:tcW w:type="dxa" w:w="2340"/>
            <w:tcBorders>
              <w:top w:val="none"/>
              <w:left w:val="none"/>
              <w:bottom w:val="none"/>
              <w:right w:val="none"/>
            </w:tcBorders>
            <w:shd w:fill="F8F9FA" w:val="clear"/>
            <w:tcMar>
              <w:top w:type="dxa" w:w="140"/>
              <w:left w:type="dxa" w:w="60"/>
              <w:bottom w:type="dxa" w:w="140"/>
              <w:right w:type="dxa" w:w="60"/>
            </w:tcMar>
          </w:tcPr>
          <w:p>
            <w:pPr>
              <w:spacing w:after="40"/>
              <w:jc w:val="center"/>
            </w:pPr>
            <w:r>
              <w:rPr>
                <w:rFonts w:ascii="Open Sans" w:cs="Open Sans" w:eastAsia="Open Sans" w:hAnsi="Open Sans"/>
                <w:b/>
                <w:bCs/>
                <w:color w:val="1EAAC8"/>
                <w:sz w:val="48"/>
                <w:szCs w:val="48"/>
              </w:rPr>
              <w:t xml:space="preserve">39</w:t>
            </w:r>
          </w:p>
          <w:p>
            <w:pPr>
              <w:jc w:val="center"/>
            </w:pPr>
            <w:r>
              <w:rPr>
                <w:rFonts w:ascii="Open Sans" w:cs="Open Sans" w:eastAsia="Open Sans" w:hAnsi="Open Sans"/>
                <w:color w:val="59595B"/>
                <w:sz w:val="15"/>
                <w:szCs w:val="15"/>
              </w:rPr>
              <w:t xml:space="preserve">AUTONOMOUS AGENTS</w:t>
            </w:r>
          </w:p>
        </w:tc>
        <w:tc>
          <w:tcPr>
            <w:tcW w:type="dxa" w:w="2340"/>
            <w:tcBorders>
              <w:top w:val="none"/>
              <w:left w:val="none"/>
              <w:bottom w:val="none"/>
              <w:right w:val="none"/>
            </w:tcBorders>
            <w:shd w:fill="F8F9FA" w:val="clear"/>
            <w:tcMar>
              <w:top w:type="dxa" w:w="140"/>
              <w:left w:type="dxa" w:w="60"/>
              <w:bottom w:type="dxa" w:w="140"/>
              <w:right w:type="dxa" w:w="60"/>
            </w:tcMar>
          </w:tcPr>
          <w:p>
            <w:pPr>
              <w:spacing w:after="40"/>
              <w:jc w:val="center"/>
            </w:pPr>
            <w:r>
              <w:rPr>
                <w:rFonts w:ascii="Open Sans" w:cs="Open Sans" w:eastAsia="Open Sans" w:hAnsi="Open Sans"/>
                <w:b/>
                <w:bCs/>
                <w:color w:val="F67D4B"/>
                <w:sz w:val="48"/>
                <w:szCs w:val="48"/>
              </w:rPr>
              <w:t xml:space="preserve">858</w:t>
            </w:r>
          </w:p>
          <w:p>
            <w:pPr>
              <w:jc w:val="center"/>
            </w:pPr>
            <w:r>
              <w:rPr>
                <w:rFonts w:ascii="Open Sans" w:cs="Open Sans" w:eastAsia="Open Sans" w:hAnsi="Open Sans"/>
                <w:color w:val="59595B"/>
                <w:sz w:val="15"/>
                <w:szCs w:val="15"/>
              </w:rPr>
              <w:t xml:space="preserve">MITRE TECHNIQUES</w:t>
            </w:r>
          </w:p>
        </w:tc>
        <w:tc>
          <w:tcPr>
            <w:tcW w:type="dxa" w:w="2340"/>
            <w:tcBorders>
              <w:top w:val="none"/>
              <w:left w:val="none"/>
              <w:bottom w:val="none"/>
              <w:right w:val="none"/>
            </w:tcBorders>
            <w:shd w:fill="F8F9FA" w:val="clear"/>
            <w:tcMar>
              <w:top w:type="dxa" w:w="140"/>
              <w:left w:type="dxa" w:w="60"/>
              <w:bottom w:type="dxa" w:w="140"/>
              <w:right w:type="dxa" w:w="60"/>
            </w:tcMar>
          </w:tcPr>
          <w:p>
            <w:pPr>
              <w:spacing w:after="40"/>
              <w:jc w:val="center"/>
            </w:pPr>
            <w:r>
              <w:rPr>
                <w:rFonts w:ascii="Open Sans" w:cs="Open Sans" w:eastAsia="Open Sans" w:hAnsi="Open Sans"/>
                <w:b/>
                <w:bCs/>
                <w:color w:val="1A1A2E"/>
                <w:sz w:val="48"/>
                <w:szCs w:val="48"/>
              </w:rPr>
              <w:t xml:space="preserve">~88%</w:t>
            </w:r>
          </w:p>
          <w:p>
            <w:pPr>
              <w:jc w:val="center"/>
            </w:pPr>
            <w:r>
              <w:rPr>
                <w:rFonts w:ascii="Open Sans" w:cs="Open Sans" w:eastAsia="Open Sans" w:hAnsi="Open Sans"/>
                <w:color w:val="59595B"/>
                <w:sz w:val="15"/>
                <w:szCs w:val="15"/>
              </w:rPr>
              <w:t xml:space="preserve">LLM COST REDUCTION</w:t>
            </w:r>
          </w:p>
        </w:tc>
      </w:tr>
    </w:tbl>
    <w:p>
      <w:pPr>
        <w:spacing w:before="160"/>
      </w:pPr>
    </w:p>
    <w:tbl>
      <w:tblPr>
        <w:tblW w:type="dxa" w:w="9360"/>
        <w:tblBorders>
          <w:top w:val="none"/>
          <w:left w:val="none"/>
          <w:bottom w:val="none"/>
          <w:right w:val="none"/>
          <w:insideH w:val="none"/>
          <w:insideV w:val="none"/>
        </w:tblBorders>
      </w:tblPr>
      <w:tblGrid>
        <w:gridCol w:w="2340"/>
        <w:gridCol w:w="2340"/>
        <w:gridCol w:w="2340"/>
        <w:gridCol w:w="2340"/>
      </w:tblGrid>
      <w:tr>
        <w:tc>
          <w:tcPr>
            <w:tcW w:type="dxa" w:w="2340"/>
            <w:tcBorders>
              <w:top w:val="none"/>
              <w:left w:val="none"/>
              <w:bottom w:val="none"/>
              <w:right w:val="none"/>
            </w:tcBorders>
            <w:shd w:fill="F8F9FA" w:val="clear"/>
            <w:tcMar>
              <w:top w:type="dxa" w:w="140"/>
              <w:left w:type="dxa" w:w="60"/>
              <w:bottom w:type="dxa" w:w="140"/>
              <w:right w:type="dxa" w:w="60"/>
            </w:tcMar>
          </w:tcPr>
          <w:p>
            <w:pPr>
              <w:spacing w:after="40"/>
              <w:jc w:val="center"/>
            </w:pPr>
            <w:r>
              <w:rPr>
                <w:rFonts w:ascii="Open Sans" w:cs="Open Sans" w:eastAsia="Open Sans" w:hAnsi="Open Sans"/>
                <w:b/>
                <w:bCs/>
                <w:color w:val="006DB6"/>
                <w:sz w:val="48"/>
                <w:szCs w:val="48"/>
              </w:rPr>
              <w:t xml:space="preserve">22</w:t>
            </w:r>
          </w:p>
          <w:p>
            <w:pPr>
              <w:jc w:val="center"/>
            </w:pPr>
            <w:r>
              <w:rPr>
                <w:rFonts w:ascii="Open Sans" w:cs="Open Sans" w:eastAsia="Open Sans" w:hAnsi="Open Sans"/>
                <w:color w:val="59595B"/>
                <w:sz w:val="15"/>
                <w:szCs w:val="15"/>
              </w:rPr>
              <w:t xml:space="preserve">M365 SERVICES</w:t>
            </w:r>
          </w:p>
        </w:tc>
        <w:tc>
          <w:tcPr>
            <w:tcW w:type="dxa" w:w="2340"/>
            <w:tcBorders>
              <w:top w:val="none"/>
              <w:left w:val="none"/>
              <w:bottom w:val="none"/>
              <w:right w:val="none"/>
            </w:tcBorders>
            <w:shd w:fill="F8F9FA" w:val="clear"/>
            <w:tcMar>
              <w:top w:type="dxa" w:w="140"/>
              <w:left w:type="dxa" w:w="60"/>
              <w:bottom w:type="dxa" w:w="140"/>
              <w:right w:type="dxa" w:w="60"/>
            </w:tcMar>
          </w:tcPr>
          <w:p>
            <w:pPr>
              <w:spacing w:after="40"/>
              <w:jc w:val="center"/>
            </w:pPr>
            <w:r>
              <w:rPr>
                <w:rFonts w:ascii="Open Sans" w:cs="Open Sans" w:eastAsia="Open Sans" w:hAnsi="Open Sans"/>
                <w:b/>
                <w:bCs/>
                <w:color w:val="1EAAC8"/>
                <w:sz w:val="48"/>
                <w:szCs w:val="48"/>
              </w:rPr>
              <w:t xml:space="preserve">31</w:t>
            </w:r>
          </w:p>
          <w:p>
            <w:pPr>
              <w:jc w:val="center"/>
            </w:pPr>
            <w:r>
              <w:rPr>
                <w:rFonts w:ascii="Open Sans" w:cs="Open Sans" w:eastAsia="Open Sans" w:hAnsi="Open Sans"/>
                <w:color w:val="59595B"/>
                <w:sz w:val="15"/>
                <w:szCs w:val="15"/>
              </w:rPr>
              <w:t xml:space="preserve">COMPLIANCE EVALUATORS</w:t>
            </w:r>
          </w:p>
        </w:tc>
        <w:tc>
          <w:tcPr>
            <w:tcW w:type="dxa" w:w="2340"/>
            <w:tcBorders>
              <w:top w:val="none"/>
              <w:left w:val="none"/>
              <w:bottom w:val="none"/>
              <w:right w:val="none"/>
            </w:tcBorders>
            <w:shd w:fill="F8F9FA" w:val="clear"/>
            <w:tcMar>
              <w:top w:type="dxa" w:w="140"/>
              <w:left w:type="dxa" w:w="60"/>
              <w:bottom w:type="dxa" w:w="140"/>
              <w:right w:type="dxa" w:w="60"/>
            </w:tcMar>
          </w:tcPr>
          <w:p>
            <w:pPr>
              <w:spacing w:after="40"/>
              <w:jc w:val="center"/>
            </w:pPr>
            <w:r>
              <w:rPr>
                <w:rFonts w:ascii="Open Sans" w:cs="Open Sans" w:eastAsia="Open Sans" w:hAnsi="Open Sans"/>
                <w:b/>
                <w:bCs/>
                <w:color w:val="F67D4B"/>
                <w:sz w:val="48"/>
                <w:szCs w:val="48"/>
              </w:rPr>
              <w:t xml:space="preserve">72</w:t>
            </w:r>
          </w:p>
          <w:p>
            <w:pPr>
              <w:jc w:val="center"/>
            </w:pPr>
            <w:r>
              <w:rPr>
                <w:rFonts w:ascii="Open Sans" w:cs="Open Sans" w:eastAsia="Open Sans" w:hAnsi="Open Sans"/>
                <w:color w:val="59595B"/>
                <w:sz w:val="15"/>
                <w:szCs w:val="15"/>
              </w:rPr>
              <w:t xml:space="preserve">n8n WORKFLOWS</w:t>
            </w:r>
          </w:p>
        </w:tc>
        <w:tc>
          <w:tcPr>
            <w:tcW w:type="dxa" w:w="2340"/>
            <w:tcBorders>
              <w:top w:val="none"/>
              <w:left w:val="none"/>
              <w:bottom w:val="none"/>
              <w:right w:val="none"/>
            </w:tcBorders>
            <w:shd w:fill="F8F9FA" w:val="clear"/>
            <w:tcMar>
              <w:top w:type="dxa" w:w="140"/>
              <w:left w:type="dxa" w:w="60"/>
              <w:bottom w:type="dxa" w:w="140"/>
              <w:right w:type="dxa" w:w="60"/>
            </w:tcMar>
          </w:tcPr>
          <w:p>
            <w:pPr>
              <w:spacing w:after="40"/>
              <w:jc w:val="center"/>
            </w:pPr>
            <w:r>
              <w:rPr>
                <w:rFonts w:ascii="Open Sans" w:cs="Open Sans" w:eastAsia="Open Sans" w:hAnsi="Open Sans"/>
                <w:b/>
                <w:bCs/>
                <w:color w:val="1A1A2E"/>
                <w:sz w:val="48"/>
                <w:szCs w:val="48"/>
              </w:rPr>
              <w:t xml:space="preserve">21</w:t>
            </w:r>
          </w:p>
          <w:p>
            <w:pPr>
              <w:jc w:val="center"/>
            </w:pPr>
            <w:r>
              <w:rPr>
                <w:rFonts w:ascii="Open Sans" w:cs="Open Sans" w:eastAsia="Open Sans" w:hAnsi="Open Sans"/>
                <w:color w:val="59595B"/>
                <w:sz w:val="15"/>
                <w:szCs w:val="15"/>
              </w:rPr>
              <w:t xml:space="preserve">M365 TENANTS</w:t>
            </w:r>
          </w:p>
        </w:tc>
      </w:tr>
    </w:tbl>
    <w:p>
      <w:pPr>
        <w:spacing w:before="240"/>
      </w:pPr>
    </w:p>
    <w:p>
      <w:pPr>
        <w:pStyle w:val="Heading2"/>
        <w:spacing w:after="120" w:before="260"/>
      </w:pPr>
      <w:r>
        <w:rPr>
          <w:rFonts w:ascii="Open Sans" w:cs="Open Sans" w:eastAsia="Open Sans" w:hAnsi="Open Sans"/>
          <w:b/>
          <w:bCs/>
          <w:color w:val="1A1A2E"/>
          <w:sz w:val="26"/>
          <w:szCs w:val="26"/>
        </w:rPr>
        <w:t xml:space="preserve">What Jian delivers</w:t>
      </w:r>
    </w:p>
    <w:p>
      <w:pPr>
        <w:pStyle w:val="ListParagraph"/>
        <w:numPr>
          <w:ilvl w:val="0"/>
          <w:numId w:val="2"/>
        </w:numPr>
        <w:spacing w:after="60"/>
      </w:pPr>
      <w:r>
        <w:rPr>
          <w:rFonts w:ascii="Open Sans" w:cs="Open Sans" w:eastAsia="Open Sans" w:hAnsi="Open Sans"/>
          <w:b/>
          <w:bCs/>
          <w:color w:val="1A1A2E"/>
          <w:sz w:val="22"/>
          <w:szCs w:val="22"/>
        </w:rPr>
        <w:t xml:space="preserve">24×7 coverage — </w:t>
      </w:r>
      <w:r>
        <w:rPr>
          <w:rFonts w:ascii="Open Sans" w:cs="Open Sans" w:eastAsia="Open Sans" w:hAnsi="Open Sans"/>
          <w:color w:val="59595B"/>
          <w:sz w:val="22"/>
          <w:szCs w:val="22"/>
        </w:rPr>
        <w:t xml:space="preserve">15-minute alert tier plus 30-minute, 1-hour, 2-hour, 6-hour posture tiers and a daily activity tier.</w:t>
      </w:r>
    </w:p>
    <w:p>
      <w:pPr>
        <w:pStyle w:val="ListParagraph"/>
        <w:numPr>
          <w:ilvl w:val="0"/>
          <w:numId w:val="2"/>
        </w:numPr>
        <w:spacing w:after="60"/>
      </w:pPr>
      <w:r>
        <w:rPr>
          <w:rFonts w:ascii="Open Sans" w:cs="Open Sans" w:eastAsia="Open Sans" w:hAnsi="Open Sans"/>
          <w:b/>
          <w:bCs/>
          <w:color w:val="1A1A2E"/>
          <w:sz w:val="22"/>
          <w:szCs w:val="22"/>
        </w:rPr>
        <w:t xml:space="preserve">MITRE ATT&amp;CK awareness — </w:t>
      </w:r>
      <w:r>
        <w:rPr>
          <w:rFonts w:ascii="Open Sans" w:cs="Open Sans" w:eastAsia="Open Sans" w:hAnsi="Open Sans"/>
          <w:color w:val="59595B"/>
          <w:sz w:val="22"/>
          <w:szCs w:val="22"/>
        </w:rPr>
        <w:t xml:space="preserve">858 techniques and 15 tactics, refreshed daily from the official MITRE STIX bundle.</w:t>
      </w:r>
    </w:p>
    <w:p>
      <w:pPr>
        <w:pStyle w:val="ListParagraph"/>
        <w:numPr>
          <w:ilvl w:val="0"/>
          <w:numId w:val="2"/>
        </w:numPr>
        <w:spacing w:after="60"/>
      </w:pPr>
      <w:r>
        <w:rPr>
          <w:rFonts w:ascii="Open Sans" w:cs="Open Sans" w:eastAsia="Open Sans" w:hAnsi="Open Sans"/>
          <w:b/>
          <w:bCs/>
          <w:color w:val="1A1A2E"/>
          <w:sz w:val="22"/>
          <w:szCs w:val="22"/>
        </w:rPr>
        <w:t xml:space="preserve">Cross-platform correlation — </w:t>
      </w:r>
      <w:r>
        <w:rPr>
          <w:rFonts w:ascii="Open Sans" w:cs="Open Sans" w:eastAsia="Open Sans" w:hAnsi="Open Sans"/>
          <w:color w:val="59595B"/>
          <w:sz w:val="22"/>
          <w:szCs w:val="22"/>
        </w:rPr>
        <w:t xml:space="preserve">detects coordinated attacks that single-tool monitoring misses.</w:t>
      </w:r>
    </w:p>
    <w:p>
      <w:pPr>
        <w:pStyle w:val="ListParagraph"/>
        <w:numPr>
          <w:ilvl w:val="0"/>
          <w:numId w:val="2"/>
        </w:numPr>
        <w:spacing w:after="60"/>
      </w:pPr>
      <w:r>
        <w:rPr>
          <w:rFonts w:ascii="Open Sans" w:cs="Open Sans" w:eastAsia="Open Sans" w:hAnsi="Open Sans"/>
          <w:b/>
          <w:bCs/>
          <w:color w:val="1A1A2E"/>
          <w:sz w:val="22"/>
          <w:szCs w:val="22"/>
        </w:rPr>
        <w:t xml:space="preserve">Shift-aware ticket routing — </w:t>
      </w:r>
      <w:r>
        <w:rPr>
          <w:rFonts w:ascii="Open Sans" w:cs="Open Sans" w:eastAsia="Open Sans" w:hAnsi="Open Sans"/>
          <w:color w:val="59595B"/>
          <w:sz w:val="22"/>
          <w:szCs w:val="22"/>
        </w:rPr>
        <w:t xml:space="preserve">moves work between the India and U.S. teams automatically as shifts roll over.</w:t>
      </w:r>
    </w:p>
    <w:p>
      <w:pPr>
        <w:pStyle w:val="ListParagraph"/>
        <w:numPr>
          <w:ilvl w:val="0"/>
          <w:numId w:val="2"/>
        </w:numPr>
        <w:spacing w:after="60"/>
      </w:pPr>
      <w:r>
        <w:rPr>
          <w:rFonts w:ascii="Open Sans" w:cs="Open Sans" w:eastAsia="Open Sans" w:hAnsi="Open Sans"/>
          <w:b/>
          <w:bCs/>
          <w:color w:val="1A1A2E"/>
          <w:sz w:val="22"/>
          <w:szCs w:val="22"/>
        </w:rPr>
        <w:t xml:space="preserve">Compliance evidence — </w:t>
      </w:r>
      <w:r>
        <w:rPr>
          <w:rFonts w:ascii="Open Sans" w:cs="Open Sans" w:eastAsia="Open Sans" w:hAnsi="Open Sans"/>
          <w:color w:val="59595B"/>
          <w:sz w:val="22"/>
          <w:szCs w:val="22"/>
        </w:rPr>
        <w:t xml:space="preserve">continuous control checks for HIPAA, SOC 2, CMMC, PCI-DSS, and the Technijian baseline.</w:t>
      </w:r>
    </w:p>
    <w:p>
      <w:pPr>
        <w:pStyle w:val="ListParagraph"/>
        <w:numPr>
          <w:ilvl w:val="0"/>
          <w:numId w:val="2"/>
        </w:numPr>
        <w:spacing w:after="60"/>
      </w:pPr>
      <w:r>
        <w:rPr>
          <w:rFonts w:ascii="Open Sans" w:cs="Open Sans" w:eastAsia="Open Sans" w:hAnsi="Open Sans"/>
          <w:b/>
          <w:bCs/>
          <w:color w:val="1A1A2E"/>
          <w:sz w:val="22"/>
          <w:szCs w:val="22"/>
        </w:rPr>
        <w:t xml:space="preserve">Gated auto-fix — </w:t>
      </w:r>
      <w:r>
        <w:rPr>
          <w:rFonts w:ascii="Open Sans" w:cs="Open Sans" w:eastAsia="Open Sans" w:hAnsi="Open Sans"/>
          <w:color w:val="59595B"/>
          <w:sz w:val="22"/>
          <w:szCs w:val="22"/>
        </w:rPr>
        <w:t xml:space="preserve">every Tier-1 remediation is opt-in per platform and requires a clean 7-day audit trail before activation.</w:t>
      </w:r>
    </w:p>
    <w:p>
      <w:r>
        <w:br w:type="page"/>
      </w:r>
    </w:p>
    <w:tbl>
      <w:tblPr>
        <w:tblW w:type="dxa" w:w="9360"/>
        <w:tblBorders>
          <w:top w:val="none"/>
          <w:left w:val="none"/>
          <w:bottom w:val="none"/>
          <w:right w:val="none"/>
          <w:insideH w:val="none"/>
          <w:insideV w:val="none"/>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100"/>
              <w:left w:type="dxa" w:w="200"/>
              <w:bottom w:type="dxa" w:w="100"/>
              <w:right w:type="dxa" w:w="0"/>
            </w:tcMar>
          </w:tcPr>
          <w:p>
            <w:pPr>
              <w:pStyle w:val="Heading1"/>
            </w:pPr>
            <w:r>
              <w:rPr>
                <w:rFonts w:ascii="Open Sans" w:cs="Open Sans" w:eastAsia="Open Sans" w:hAnsi="Open Sans"/>
                <w:b/>
                <w:bCs/>
                <w:color w:val="006DB6"/>
                <w:sz w:val="32"/>
                <w:szCs w:val="32"/>
              </w:rPr>
              <w:t xml:space="preserve">2. System Architecture</w:t>
            </w:r>
          </w:p>
        </w:tc>
      </w:tr>
    </w:tbl>
    <w:p>
      <w:pPr>
        <w:spacing w:after="200" w:before="160"/>
      </w:pPr>
      <w:r>
        <w:rPr>
          <w:rFonts w:ascii="Open Sans" w:cs="Open Sans" w:eastAsia="Open Sans" w:hAnsi="Open Sans"/>
          <w:color w:val="59595B"/>
          <w:sz w:val="22"/>
          <w:szCs w:val="22"/>
        </w:rPr>
        <w:t xml:space="preserve">Every monitored platform follows one consistent execution pattern. Schedules live in version control; agents run behind an IIS-fronted web service; decisions route through a cost-tiered model gateway; results land as Client Portal tickets, Teams channels, and an append-only audit log.</w:t>
      </w:r>
    </w:p>
    <w:p>
      <w:pPr>
        <w:pStyle w:val="Heading2"/>
        <w:spacing w:after="120" w:before="260"/>
      </w:pPr>
      <w:r>
        <w:rPr>
          <w:rFonts w:ascii="Open Sans" w:cs="Open Sans" w:eastAsia="Open Sans" w:hAnsi="Open Sans"/>
          <w:b/>
          <w:bCs/>
          <w:color w:val="1A1A2E"/>
          <w:sz w:val="26"/>
          <w:szCs w:val="26"/>
        </w:rPr>
        <w:t xml:space="preserve">Execution flow</w:t>
      </w:r>
    </w:p>
    <w:tbl>
      <w:tblPr>
        <w:tblW w:type="dxa" w:w="9360"/>
        <w:tblBorders>
          <w:top w:val="none"/>
          <w:left w:val="none"/>
          <w:bottom w:val="none"/>
          <w:right w:val="none"/>
          <w:insideH w:val="none"/>
          <w:insideV w:val="none"/>
        </w:tblBorders>
      </w:tblPr>
      <w:tblGrid>
        <w:gridCol w:w="1584"/>
        <w:gridCol w:w="360"/>
        <w:gridCol w:w="1584"/>
        <w:gridCol w:w="360"/>
        <w:gridCol w:w="1584"/>
        <w:gridCol w:w="360"/>
        <w:gridCol w:w="1584"/>
        <w:gridCol w:w="360"/>
        <w:gridCol w:w="1584"/>
      </w:tblGrid>
      <w:tr>
        <w:tc>
          <w:tcPr>
            <w:tcW w:type="dxa" w:w="1584"/>
            <w:tcBorders>
              <w:top w:val="single" w:color="006DB6" w:sz="2"/>
              <w:left w:val="single" w:color="006DB6" w:sz="2"/>
              <w:bottom w:val="single" w:color="006DB6" w:sz="2"/>
              <w:right w:val="single" w:color="006DB6" w:sz="2"/>
            </w:tcBorders>
            <w:shd w:fill="F8F9FA" w:val="clear"/>
            <w:tcMar>
              <w:top w:type="dxa" w:w="120"/>
              <w:left w:type="dxa" w:w="80"/>
              <w:bottom w:type="dxa" w:w="120"/>
              <w:right w:type="dxa" w:w="80"/>
            </w:tcMar>
            <w:vAlign w:val="center"/>
          </w:tcPr>
          <w:p>
            <w:pPr>
              <w:spacing w:after="30"/>
              <w:jc w:val="center"/>
            </w:pPr>
            <w:r>
              <w:rPr>
                <w:rFonts w:ascii="Open Sans" w:cs="Open Sans" w:eastAsia="Open Sans" w:hAnsi="Open Sans"/>
                <w:b/>
                <w:bCs/>
                <w:color w:val="006DB6"/>
                <w:sz w:val="18"/>
                <w:szCs w:val="18"/>
              </w:rPr>
              <w:t xml:space="preserve">n8n</w:t>
            </w:r>
          </w:p>
          <w:p>
            <w:pPr>
              <w:jc w:val="center"/>
            </w:pPr>
            <w:r>
              <w:rPr>
                <w:rFonts w:ascii="Open Sans" w:cs="Open Sans" w:eastAsia="Open Sans" w:hAnsi="Open Sans"/>
                <w:color w:val="59595B"/>
                <w:sz w:val="14"/>
                <w:szCs w:val="14"/>
              </w:rPr>
              <w:t xml:space="preserve">schedule trigger</w:t>
            </w:r>
          </w:p>
        </w:tc>
        <w:tc>
          <w:tcPr>
            <w:tcW w:type="dxa" w:w="360"/>
            <w:tcBorders>
              <w:top w:val="none"/>
              <w:left w:val="none"/>
              <w:bottom w:val="none"/>
              <w:right w:val="none"/>
            </w:tcBorders>
            <w:vAlign w:val="center"/>
          </w:tcPr>
          <w:p>
            <w:pPr>
              <w:jc w:val="center"/>
            </w:pPr>
            <w:r>
              <w:rPr>
                <w:rFonts w:ascii="Open Sans" w:cs="Open Sans" w:eastAsia="Open Sans" w:hAnsi="Open Sans"/>
                <w:b/>
                <w:bCs/>
                <w:color w:val="F67D4B"/>
                <w:sz w:val="28"/>
                <w:szCs w:val="28"/>
              </w:rPr>
              <w:t xml:space="preserve">→</w:t>
            </w:r>
          </w:p>
        </w:tc>
        <w:tc>
          <w:tcPr>
            <w:tcW w:type="dxa" w:w="1584"/>
            <w:tcBorders>
              <w:top w:val="single" w:color="006DB6" w:sz="2"/>
              <w:left w:val="single" w:color="006DB6" w:sz="2"/>
              <w:bottom w:val="single" w:color="006DB6" w:sz="2"/>
              <w:right w:val="single" w:color="006DB6" w:sz="2"/>
            </w:tcBorders>
            <w:shd w:fill="F8F9FA" w:val="clear"/>
            <w:tcMar>
              <w:top w:type="dxa" w:w="120"/>
              <w:left w:type="dxa" w:w="80"/>
              <w:bottom w:type="dxa" w:w="120"/>
              <w:right w:type="dxa" w:w="80"/>
            </w:tcMar>
            <w:vAlign w:val="center"/>
          </w:tcPr>
          <w:p>
            <w:pPr>
              <w:spacing w:after="30"/>
              <w:jc w:val="center"/>
            </w:pPr>
            <w:r>
              <w:rPr>
                <w:rFonts w:ascii="Open Sans" w:cs="Open Sans" w:eastAsia="Open Sans" w:hAnsi="Open Sans"/>
                <w:b/>
                <w:bCs/>
                <w:color w:val="006DB6"/>
                <w:sz w:val="18"/>
                <w:szCs w:val="18"/>
              </w:rPr>
              <w:t xml:space="preserve">IIS Webhook</w:t>
            </w:r>
          </w:p>
          <w:p>
            <w:pPr>
              <w:jc w:val="center"/>
            </w:pPr>
            <w:r>
              <w:rPr>
                <w:rFonts w:ascii="Open Sans" w:cs="Open Sans" w:eastAsia="Open Sans" w:hAnsi="Open Sans"/>
                <w:color w:val="59595B"/>
                <w:sz w:val="14"/>
                <w:szCs w:val="14"/>
              </w:rPr>
              <w:t xml:space="preserve">FastAPI :8765</w:t>
            </w:r>
          </w:p>
        </w:tc>
        <w:tc>
          <w:tcPr>
            <w:tcW w:type="dxa" w:w="360"/>
            <w:tcBorders>
              <w:top w:val="none"/>
              <w:left w:val="none"/>
              <w:bottom w:val="none"/>
              <w:right w:val="none"/>
            </w:tcBorders>
            <w:vAlign w:val="center"/>
          </w:tcPr>
          <w:p>
            <w:pPr>
              <w:jc w:val="center"/>
            </w:pPr>
            <w:r>
              <w:rPr>
                <w:rFonts w:ascii="Open Sans" w:cs="Open Sans" w:eastAsia="Open Sans" w:hAnsi="Open Sans"/>
                <w:b/>
                <w:bCs/>
                <w:color w:val="F67D4B"/>
                <w:sz w:val="28"/>
                <w:szCs w:val="28"/>
              </w:rPr>
              <w:t xml:space="preserve">→</w:t>
            </w:r>
          </w:p>
        </w:tc>
        <w:tc>
          <w:tcPr>
            <w:tcW w:type="dxa" w:w="1584"/>
            <w:tcBorders>
              <w:top w:val="single" w:color="1EAAC8" w:sz="2"/>
              <w:left w:val="single" w:color="1EAAC8" w:sz="2"/>
              <w:bottom w:val="single" w:color="1EAAC8" w:sz="2"/>
              <w:right w:val="single" w:color="1EAAC8" w:sz="2"/>
            </w:tcBorders>
            <w:shd w:fill="F8F9FA" w:val="clear"/>
            <w:tcMar>
              <w:top w:type="dxa" w:w="120"/>
              <w:left w:type="dxa" w:w="80"/>
              <w:bottom w:type="dxa" w:w="120"/>
              <w:right w:type="dxa" w:w="80"/>
            </w:tcMar>
            <w:vAlign w:val="center"/>
          </w:tcPr>
          <w:p>
            <w:pPr>
              <w:spacing w:after="30"/>
              <w:jc w:val="center"/>
            </w:pPr>
            <w:r>
              <w:rPr>
                <w:rFonts w:ascii="Open Sans" w:cs="Open Sans" w:eastAsia="Open Sans" w:hAnsi="Open Sans"/>
                <w:b/>
                <w:bCs/>
                <w:color w:val="1EAAC8"/>
                <w:sz w:val="18"/>
                <w:szCs w:val="18"/>
              </w:rPr>
              <w:t xml:space="preserve">Python Agent</w:t>
            </w:r>
          </w:p>
          <w:p>
            <w:pPr>
              <w:jc w:val="center"/>
            </w:pPr>
            <w:r>
              <w:rPr>
                <w:rFonts w:ascii="Open Sans" w:cs="Open Sans" w:eastAsia="Open Sans" w:hAnsi="Open Sans"/>
                <w:color w:val="59595B"/>
                <w:sz w:val="14"/>
                <w:szCs w:val="14"/>
              </w:rPr>
              <w:t xml:space="preserve">pull + analyze</w:t>
            </w:r>
          </w:p>
        </w:tc>
        <w:tc>
          <w:tcPr>
            <w:tcW w:type="dxa" w:w="360"/>
            <w:tcBorders>
              <w:top w:val="none"/>
              <w:left w:val="none"/>
              <w:bottom w:val="none"/>
              <w:right w:val="none"/>
            </w:tcBorders>
            <w:vAlign w:val="center"/>
          </w:tcPr>
          <w:p>
            <w:pPr>
              <w:jc w:val="center"/>
            </w:pPr>
            <w:r>
              <w:rPr>
                <w:rFonts w:ascii="Open Sans" w:cs="Open Sans" w:eastAsia="Open Sans" w:hAnsi="Open Sans"/>
                <w:b/>
                <w:bCs/>
                <w:color w:val="F67D4B"/>
                <w:sz w:val="28"/>
                <w:szCs w:val="28"/>
              </w:rPr>
              <w:t xml:space="preserve">→</w:t>
            </w:r>
          </w:p>
        </w:tc>
        <w:tc>
          <w:tcPr>
            <w:tcW w:type="dxa" w:w="1584"/>
            <w:tcBorders>
              <w:top w:val="single" w:color="F67D4B" w:sz="2"/>
              <w:left w:val="single" w:color="F67D4B" w:sz="2"/>
              <w:bottom w:val="single" w:color="F67D4B" w:sz="2"/>
              <w:right w:val="single" w:color="F67D4B" w:sz="2"/>
            </w:tcBorders>
            <w:shd w:fill="F8F9FA" w:val="clear"/>
            <w:tcMar>
              <w:top w:type="dxa" w:w="120"/>
              <w:left w:type="dxa" w:w="80"/>
              <w:bottom w:type="dxa" w:w="120"/>
              <w:right w:type="dxa" w:w="80"/>
            </w:tcMar>
            <w:vAlign w:val="center"/>
          </w:tcPr>
          <w:p>
            <w:pPr>
              <w:spacing w:after="30"/>
              <w:jc w:val="center"/>
            </w:pPr>
            <w:r>
              <w:rPr>
                <w:rFonts w:ascii="Open Sans" w:cs="Open Sans" w:eastAsia="Open Sans" w:hAnsi="Open Sans"/>
                <w:b/>
                <w:bCs/>
                <w:color w:val="F67D4B"/>
                <w:sz w:val="18"/>
                <w:szCs w:val="18"/>
              </w:rPr>
              <w:t xml:space="preserve">LLM Engine</w:t>
            </w:r>
          </w:p>
          <w:p>
            <w:pPr>
              <w:jc w:val="center"/>
            </w:pPr>
            <w:r>
              <w:rPr>
                <w:rFonts w:ascii="Open Sans" w:cs="Open Sans" w:eastAsia="Open Sans" w:hAnsi="Open Sans"/>
                <w:color w:val="59595B"/>
                <w:sz w:val="14"/>
                <w:szCs w:val="14"/>
              </w:rPr>
              <w:t xml:space="preserve">4-tier routing</w:t>
            </w:r>
          </w:p>
        </w:tc>
        <w:tc>
          <w:tcPr>
            <w:tcW w:type="dxa" w:w="360"/>
            <w:tcBorders>
              <w:top w:val="none"/>
              <w:left w:val="none"/>
              <w:bottom w:val="none"/>
              <w:right w:val="none"/>
            </w:tcBorders>
            <w:vAlign w:val="center"/>
          </w:tcPr>
          <w:p>
            <w:pPr>
              <w:jc w:val="center"/>
            </w:pPr>
            <w:r>
              <w:rPr>
                <w:rFonts w:ascii="Open Sans" w:cs="Open Sans" w:eastAsia="Open Sans" w:hAnsi="Open Sans"/>
                <w:b/>
                <w:bCs/>
                <w:color w:val="F67D4B"/>
                <w:sz w:val="28"/>
                <w:szCs w:val="28"/>
              </w:rPr>
              <w:t xml:space="preserve">→</w:t>
            </w:r>
          </w:p>
        </w:tc>
        <w:tc>
          <w:tcPr>
            <w:tcW w:type="dxa" w:w="1584"/>
            <w:tcBorders>
              <w:top w:val="single" w:color="1A1A2E" w:sz="2"/>
              <w:left w:val="single" w:color="1A1A2E" w:sz="2"/>
              <w:bottom w:val="single" w:color="1A1A2E" w:sz="2"/>
              <w:right w:val="single" w:color="1A1A2E" w:sz="2"/>
            </w:tcBorders>
            <w:shd w:fill="F8F9FA" w:val="clear"/>
            <w:tcMar>
              <w:top w:type="dxa" w:w="120"/>
              <w:left w:type="dxa" w:w="80"/>
              <w:bottom w:type="dxa" w:w="120"/>
              <w:right w:type="dxa" w:w="80"/>
            </w:tcMar>
            <w:vAlign w:val="center"/>
          </w:tcPr>
          <w:p>
            <w:pPr>
              <w:spacing w:after="30"/>
              <w:jc w:val="center"/>
            </w:pPr>
            <w:r>
              <w:rPr>
                <w:rFonts w:ascii="Open Sans" w:cs="Open Sans" w:eastAsia="Open Sans" w:hAnsi="Open Sans"/>
                <w:b/>
                <w:bCs/>
                <w:color w:val="1A1A2E"/>
                <w:sz w:val="18"/>
                <w:szCs w:val="18"/>
              </w:rPr>
              <w:t xml:space="preserve">CP + Teams</w:t>
            </w:r>
          </w:p>
          <w:p>
            <w:pPr>
              <w:jc w:val="center"/>
            </w:pPr>
            <w:r>
              <w:rPr>
                <w:rFonts w:ascii="Open Sans" w:cs="Open Sans" w:eastAsia="Open Sans" w:hAnsi="Open Sans"/>
                <w:color w:val="59595B"/>
                <w:sz w:val="14"/>
                <w:szCs w:val="14"/>
              </w:rPr>
              <w:t xml:space="preserve">ticket + channel</w:t>
            </w:r>
          </w:p>
        </w:tc>
      </w:tr>
    </w:tbl>
    <w:p>
      <w:pPr>
        <w:spacing w:before="200"/>
      </w:pPr>
    </w:p>
    <w:p>
      <w:pPr>
        <w:pStyle w:val="Heading2"/>
        <w:spacing w:after="120" w:before="260"/>
      </w:pPr>
      <w:r>
        <w:rPr>
          <w:rFonts w:ascii="Open Sans" w:cs="Open Sans" w:eastAsia="Open Sans" w:hAnsi="Open Sans"/>
          <w:b/>
          <w:bCs/>
          <w:color w:val="1A1A2E"/>
          <w:sz w:val="26"/>
          <w:szCs w:val="26"/>
        </w:rPr>
        <w:t xml:space="preserve">Layered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FFFFFF" w:sz="4"/>
              <w:left w:val="none"/>
              <w:bottom w:val="single" w:color="FFFFFF" w:sz="4"/>
              <w:right w:val="none"/>
            </w:tcBorders>
            <w:shd w:fill="006DB6" w:val="clear"/>
            <w:tcMar>
              <w:top w:type="dxa" w:w="120"/>
              <w:left w:type="dxa" w:w="160"/>
              <w:bottom w:type="dxa" w:w="120"/>
              <w:right w:type="dxa" w:w="120"/>
            </w:tcMar>
            <w:vAlign w:val="center"/>
          </w:tcPr>
          <w:p>
            <w:r>
              <w:rPr>
                <w:rFonts w:ascii="Open Sans" w:cs="Open Sans" w:eastAsia="Open Sans" w:hAnsi="Open Sans"/>
                <w:b/>
                <w:bCs/>
                <w:color w:val="FFFFFF"/>
                <w:sz w:val="19"/>
                <w:szCs w:val="19"/>
              </w:rPr>
              <w:t xml:space="preserve">L0  Schedule</w:t>
            </w:r>
          </w:p>
        </w:tc>
        <w:tc>
          <w:tcPr>
            <w:tcW w:type="dxa" w:w="6760"/>
            <w:tcBorders>
              <w:top w:val="single" w:color="FFFFFF" w:sz="4"/>
              <w:left w:val="none"/>
              <w:bottom w:val="single" w:color="FFFFFF" w:sz="4"/>
              <w:right w:val="none"/>
            </w:tcBorders>
            <w:shd w:fill="F8F9FA" w:val="clear"/>
            <w:tcMar>
              <w:top w:type="dxa" w:w="120"/>
              <w:left w:type="dxa" w:w="200"/>
              <w:bottom w:type="dxa" w:w="120"/>
              <w:right w:type="dxa" w:w="160"/>
            </w:tcMar>
            <w:vAlign w:val="center"/>
          </w:tcPr>
          <w:p>
            <w:r>
              <w:rPr>
                <w:rFonts w:ascii="Open Sans" w:cs="Open Sans" w:eastAsia="Open Sans" w:hAnsi="Open Sans"/>
                <w:color w:val="59595B"/>
                <w:sz w:val="18"/>
                <w:szCs w:val="18"/>
              </w:rPr>
              <w:t xml:space="preserve">Every cadence owned by an n8n workflow. Single source of truth: cadence-plan.json</w:t>
            </w:r>
          </w:p>
        </w:tc>
      </w:tr>
      <w:tr>
        <w:tc>
          <w:tcPr>
            <w:tcW w:type="dxa" w:w="2600"/>
            <w:tcBorders>
              <w:top w:val="single" w:color="FFFFFF" w:sz="4"/>
              <w:left w:val="none"/>
              <w:bottom w:val="single" w:color="FFFFFF" w:sz="4"/>
              <w:right w:val="none"/>
            </w:tcBorders>
            <w:shd w:fill="006DB6" w:val="clear"/>
            <w:tcMar>
              <w:top w:type="dxa" w:w="120"/>
              <w:left w:type="dxa" w:w="160"/>
              <w:bottom w:type="dxa" w:w="120"/>
              <w:right w:type="dxa" w:w="120"/>
            </w:tcMar>
            <w:vAlign w:val="center"/>
          </w:tcPr>
          <w:p>
            <w:r>
              <w:rPr>
                <w:rFonts w:ascii="Open Sans" w:cs="Open Sans" w:eastAsia="Open Sans" w:hAnsi="Open Sans"/>
                <w:b/>
                <w:bCs/>
                <w:color w:val="FFFFFF"/>
                <w:sz w:val="19"/>
                <w:szCs w:val="19"/>
              </w:rPr>
              <w:t xml:space="preserve">L1  Webhook</w:t>
            </w:r>
          </w:p>
        </w:tc>
        <w:tc>
          <w:tcPr>
            <w:tcW w:type="dxa" w:w="6760"/>
            <w:tcBorders>
              <w:top w:val="single" w:color="FFFFFF" w:sz="4"/>
              <w:left w:val="none"/>
              <w:bottom w:val="single" w:color="FFFFFF" w:sz="4"/>
              <w:right w:val="none"/>
            </w:tcBorders>
            <w:shd w:fill="F8F9FA" w:val="clear"/>
            <w:tcMar>
              <w:top w:type="dxa" w:w="120"/>
              <w:left w:type="dxa" w:w="200"/>
              <w:bottom w:type="dxa" w:w="120"/>
              <w:right w:type="dxa" w:w="160"/>
            </w:tcMar>
            <w:vAlign w:val="center"/>
          </w:tcPr>
          <w:p>
            <w:r>
              <w:rPr>
                <w:rFonts w:ascii="Open Sans" w:cs="Open Sans" w:eastAsia="Open Sans" w:hAnsi="Open Sans"/>
                <w:color w:val="59595B"/>
                <w:sz w:val="18"/>
                <w:szCs w:val="18"/>
              </w:rPr>
              <w:t xml:space="preserve">IIS reverse proxy publishes the agent intake service (jian_service.py, FastAPI on port 8765) to the LAN</w:t>
            </w:r>
          </w:p>
        </w:tc>
      </w:tr>
      <w:tr>
        <w:tc>
          <w:tcPr>
            <w:tcW w:type="dxa" w:w="2600"/>
            <w:tcBorders>
              <w:top w:val="single" w:color="FFFFFF" w:sz="4"/>
              <w:left w:val="none"/>
              <w:bottom w:val="single" w:color="FFFFFF" w:sz="4"/>
              <w:right w:val="none"/>
            </w:tcBorders>
            <w:shd w:fill="1EAAC8" w:val="clear"/>
            <w:tcMar>
              <w:top w:type="dxa" w:w="120"/>
              <w:left w:type="dxa" w:w="160"/>
              <w:bottom w:type="dxa" w:w="120"/>
              <w:right w:type="dxa" w:w="120"/>
            </w:tcMar>
            <w:vAlign w:val="center"/>
          </w:tcPr>
          <w:p>
            <w:r>
              <w:rPr>
                <w:rFonts w:ascii="Open Sans" w:cs="Open Sans" w:eastAsia="Open Sans" w:hAnsi="Open Sans"/>
                <w:b/>
                <w:bCs/>
                <w:color w:val="1A1A2E"/>
                <w:sz w:val="19"/>
                <w:szCs w:val="19"/>
              </w:rPr>
              <w:t xml:space="preserve">L2  Agent</w:t>
            </w:r>
          </w:p>
        </w:tc>
        <w:tc>
          <w:tcPr>
            <w:tcW w:type="dxa" w:w="6760"/>
            <w:tcBorders>
              <w:top w:val="single" w:color="FFFFFF" w:sz="4"/>
              <w:left w:val="none"/>
              <w:bottom w:val="single" w:color="FFFFFF" w:sz="4"/>
              <w:right w:val="none"/>
            </w:tcBorders>
            <w:shd w:fill="F8F9FA" w:val="clear"/>
            <w:tcMar>
              <w:top w:type="dxa" w:w="120"/>
              <w:left w:type="dxa" w:w="200"/>
              <w:bottom w:type="dxa" w:w="120"/>
              <w:right w:type="dxa" w:w="160"/>
            </w:tcMar>
            <w:vAlign w:val="center"/>
          </w:tcPr>
          <w:p>
            <w:r>
              <w:rPr>
                <w:rFonts w:ascii="Open Sans" w:cs="Open Sans" w:eastAsia="Open Sans" w:hAnsi="Open Sans"/>
                <w:color w:val="59595B"/>
                <w:sz w:val="18"/>
                <w:szCs w:val="18"/>
              </w:rPr>
              <w:t xml:space="preserve">One diagnose agent per platform — pulls fresh data, classifies, opens CP tickets, snapshots evidence</w:t>
            </w:r>
          </w:p>
        </w:tc>
      </w:tr>
      <w:tr>
        <w:tc>
          <w:tcPr>
            <w:tcW w:type="dxa" w:w="2600"/>
            <w:tcBorders>
              <w:top w:val="single" w:color="FFFFFF" w:sz="4"/>
              <w:left w:val="none"/>
              <w:bottom w:val="single" w:color="FFFFFF" w:sz="4"/>
              <w:right w:val="none"/>
            </w:tcBorders>
            <w:shd w:fill="F67D4B" w:val="clear"/>
            <w:tcMar>
              <w:top w:type="dxa" w:w="120"/>
              <w:left w:type="dxa" w:w="160"/>
              <w:bottom w:type="dxa" w:w="120"/>
              <w:right w:type="dxa" w:w="120"/>
            </w:tcMar>
            <w:vAlign w:val="center"/>
          </w:tcPr>
          <w:p>
            <w:r>
              <w:rPr>
                <w:rFonts w:ascii="Open Sans" w:cs="Open Sans" w:eastAsia="Open Sans" w:hAnsi="Open Sans"/>
                <w:b/>
                <w:bCs/>
                <w:color w:val="FFFFFF"/>
                <w:sz w:val="19"/>
                <w:szCs w:val="19"/>
              </w:rPr>
              <w:t xml:space="preserve">L3  Decision</w:t>
            </w:r>
          </w:p>
        </w:tc>
        <w:tc>
          <w:tcPr>
            <w:tcW w:type="dxa" w:w="6760"/>
            <w:tcBorders>
              <w:top w:val="single" w:color="FFFFFF" w:sz="4"/>
              <w:left w:val="none"/>
              <w:bottom w:val="single" w:color="FFFFFF" w:sz="4"/>
              <w:right w:val="none"/>
            </w:tcBorders>
            <w:shd w:fill="F8F9FA" w:val="clear"/>
            <w:tcMar>
              <w:top w:type="dxa" w:w="120"/>
              <w:left w:type="dxa" w:w="200"/>
              <w:bottom w:type="dxa" w:w="120"/>
              <w:right w:type="dxa" w:w="160"/>
            </w:tcMar>
            <w:vAlign w:val="center"/>
          </w:tcPr>
          <w:p>
            <w:r>
              <w:rPr>
                <w:rFonts w:ascii="Open Sans" w:cs="Open Sans" w:eastAsia="Open Sans" w:hAnsi="Open Sans"/>
                <w:color w:val="59595B"/>
                <w:sz w:val="18"/>
                <w:szCs w:val="18"/>
              </w:rPr>
              <w:t xml:space="preserve">Cost-cascade LLM router, threshold tuner, remediation registry, shift lookup</w:t>
            </w:r>
          </w:p>
        </w:tc>
      </w:tr>
      <w:tr>
        <w:tc>
          <w:tcPr>
            <w:tcW w:type="dxa" w:w="2600"/>
            <w:tcBorders>
              <w:top w:val="single" w:color="FFFFFF" w:sz="4"/>
              <w:left w:val="none"/>
              <w:bottom w:val="single" w:color="FFFFFF" w:sz="4"/>
              <w:right w:val="none"/>
            </w:tcBorders>
            <w:shd w:fill="59595B" w:val="clear"/>
            <w:tcMar>
              <w:top w:type="dxa" w:w="120"/>
              <w:left w:type="dxa" w:w="160"/>
              <w:bottom w:type="dxa" w:w="120"/>
              <w:right w:type="dxa" w:w="120"/>
            </w:tcMar>
            <w:vAlign w:val="center"/>
          </w:tcPr>
          <w:p>
            <w:r>
              <w:rPr>
                <w:rFonts w:ascii="Open Sans" w:cs="Open Sans" w:eastAsia="Open Sans" w:hAnsi="Open Sans"/>
                <w:b/>
                <w:bCs/>
                <w:color w:val="FFFFFF"/>
                <w:sz w:val="19"/>
                <w:szCs w:val="19"/>
              </w:rPr>
              <w:t xml:space="preserve">L4  Telemetry</w:t>
            </w:r>
          </w:p>
        </w:tc>
        <w:tc>
          <w:tcPr>
            <w:tcW w:type="dxa" w:w="6760"/>
            <w:tcBorders>
              <w:top w:val="single" w:color="FFFFFF" w:sz="4"/>
              <w:left w:val="none"/>
              <w:bottom w:val="single" w:color="FFFFFF" w:sz="4"/>
              <w:right w:val="none"/>
            </w:tcBorders>
            <w:shd w:fill="F8F9FA" w:val="clear"/>
            <w:tcMar>
              <w:top w:type="dxa" w:w="120"/>
              <w:left w:type="dxa" w:w="200"/>
              <w:bottom w:type="dxa" w:w="120"/>
              <w:right w:type="dxa" w:w="160"/>
            </w:tcMar>
            <w:vAlign w:val="center"/>
          </w:tcPr>
          <w:p>
            <w:r>
              <w:rPr>
                <w:rFonts w:ascii="Open Sans" w:cs="Open Sans" w:eastAsia="Open Sans" w:hAnsi="Open Sans"/>
                <w:color w:val="59595B"/>
                <w:sz w:val="18"/>
                <w:szCs w:val="18"/>
              </w:rPr>
              <w:t xml:space="preserve">One span per decision streamed to ClickHouse; Grafana dashboards on localhost:3001</w:t>
            </w:r>
          </w:p>
        </w:tc>
      </w:tr>
      <w:tr>
        <w:tc>
          <w:tcPr>
            <w:tcW w:type="dxa" w:w="2600"/>
            <w:tcBorders>
              <w:top w:val="single" w:color="FFFFFF" w:sz="4"/>
              <w:left w:val="none"/>
              <w:bottom w:val="single" w:color="FFFFFF" w:sz="4"/>
              <w:right w:val="none"/>
            </w:tcBorders>
            <w:shd w:fill="1A1A2E" w:val="clear"/>
            <w:tcMar>
              <w:top w:type="dxa" w:w="120"/>
              <w:left w:type="dxa" w:w="160"/>
              <w:bottom w:type="dxa" w:w="120"/>
              <w:right w:type="dxa" w:w="120"/>
            </w:tcMar>
            <w:vAlign w:val="center"/>
          </w:tcPr>
          <w:p>
            <w:r>
              <w:rPr>
                <w:rFonts w:ascii="Open Sans" w:cs="Open Sans" w:eastAsia="Open Sans" w:hAnsi="Open Sans"/>
                <w:b/>
                <w:bCs/>
                <w:color w:val="FFFFFF"/>
                <w:sz w:val="19"/>
                <w:szCs w:val="19"/>
              </w:rPr>
              <w:t xml:space="preserve">L5  Storage</w:t>
            </w:r>
          </w:p>
        </w:tc>
        <w:tc>
          <w:tcPr>
            <w:tcW w:type="dxa" w:w="6760"/>
            <w:tcBorders>
              <w:top w:val="single" w:color="FFFFFF" w:sz="4"/>
              <w:left w:val="none"/>
              <w:bottom w:val="single" w:color="FFFFFF" w:sz="4"/>
              <w:right w:val="none"/>
            </w:tcBorders>
            <w:shd w:fill="F8F9FA" w:val="clear"/>
            <w:tcMar>
              <w:top w:type="dxa" w:w="120"/>
              <w:left w:type="dxa" w:w="200"/>
              <w:bottom w:type="dxa" w:w="120"/>
              <w:right w:type="dxa" w:w="160"/>
            </w:tcMar>
            <w:vAlign w:val="center"/>
          </w:tcPr>
          <w:p>
            <w:r>
              <w:rPr>
                <w:rFonts w:ascii="Open Sans" w:cs="Open Sans" w:eastAsia="Open Sans" w:hAnsi="Open Sans"/>
                <w:color w:val="59595B"/>
                <w:sz w:val="18"/>
                <w:szCs w:val="18"/>
              </w:rPr>
              <w:t xml:space="preserve">Per-client per-day append-only event store plus MS SQL backing tables</w:t>
            </w:r>
          </w:p>
        </w:tc>
      </w:tr>
    </w:tbl>
    <w:p>
      <w:pPr>
        <w:spacing w:before="220"/>
      </w:pPr>
    </w:p>
    <w:p>
      <w:pPr>
        <w:pStyle w:val="Heading2"/>
        <w:spacing w:after="120" w:before="260"/>
      </w:pPr>
      <w:r>
        <w:rPr>
          <w:rFonts w:ascii="Open Sans" w:cs="Open Sans" w:eastAsia="Open Sans" w:hAnsi="Open Sans"/>
          <w:b/>
          <w:bCs/>
          <w:color w:val="1A1A2E"/>
          <w:sz w:val="26"/>
          <w:szCs w:val="26"/>
        </w:rPr>
        <w:t xml:space="preserve">Two webhook endpoint families</w:t>
      </w:r>
    </w:p>
    <w:p>
      <w:pPr>
        <w:spacing w:after="120" w:before="0"/>
      </w:pPr>
      <w:r>
        <w:rPr>
          <w:rFonts w:ascii="Open Sans" w:cs="Open Sans" w:eastAsia="Open Sans" w:hAnsi="Open Sans"/>
          <w:color w:val="59595B"/>
          <w:sz w:val="22"/>
          <w:szCs w:val="22"/>
        </w:rPr>
        <w:t xml:space="preserve">The intake service exposes two parallel routes; n8n picks the right one for each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80"/>
        <w:gridCol w:w="3080"/>
      </w:tblGrid>
      <w:tr>
        <w:trPr>
          <w:tblHeader/>
        </w:trPr>
        <w:tc>
          <w:tcPr>
            <w:tcW w:type="dxa" w:w="26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Endpoint</w:t>
            </w:r>
          </w:p>
        </w:tc>
        <w:tc>
          <w:tcPr>
            <w:tcW w:type="dxa" w:w="3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When n8n uses it</w:t>
            </w:r>
          </w:p>
        </w:tc>
        <w:tc>
          <w:tcPr>
            <w:tcW w:type="dxa" w:w="30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Backed by</w:t>
            </w:r>
          </w:p>
        </w:tc>
      </w:tr>
      <w:tr>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POST /agents/&lt;platform&gt;</w:t>
            </w:r>
          </w:p>
        </w:tc>
        <w:tc>
          <w:tcPr>
            <w:tcW w:type="dxa" w:w="368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Per-platform DiagnoseAgent subclasses (the 24 monitored platforms)</w:t>
            </w:r>
          </w:p>
        </w:tc>
        <w:tc>
          <w:tcPr>
            <w:tcW w:type="dxa" w:w="308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_PLATFORM_MAP — imports the agent class and calls .run_all()</w:t>
            </w:r>
          </w:p>
        </w:tc>
      </w:tr>
      <w:tr>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POST /scripts/&lt;name&gt;</w:t>
            </w:r>
          </w:p>
        </w:tc>
        <w:tc>
          <w:tcPr>
            <w:tcW w:type="dxa" w:w="3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Horizontal aggregators, correlators, summaries, the learning consolidator</w:t>
            </w:r>
          </w:p>
        </w:tc>
        <w:tc>
          <w:tcPr>
            <w:tcW w:type="dxa" w:w="30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_SCRIPT_MAP — subprocesses python -m &lt;module&gt;</w:t>
            </w:r>
          </w:p>
        </w:tc>
      </w:tr>
    </w:tbl>
    <w:p>
      <w:pPr>
        <w:spacing w:after="120" w:before="140"/>
      </w:pPr>
      <w:r>
        <w:rPr>
          <w:rFonts w:ascii="Open Sans" w:cs="Open Sans" w:eastAsia="Open Sans" w:hAnsi="Open Sans"/>
          <w:color w:val="59595B"/>
          <w:sz w:val="22"/>
          <w:szCs w:val="22"/>
        </w:rPr>
        <w:t xml:space="preserve">Both endpoints require the X-Jian-Key header, both audit every invocation to state/jian_runs.jsonl, and both return a JSON summary that n8n branches on (counts.ESCALATE for agents, exit_code for scripts).</w:t>
      </w:r>
    </w:p>
    <w:p>
      <w:pPr>
        <w:spacing w:after="120" w:before="120"/>
      </w:pPr>
      <w:r>
        <w:rPr>
          <w:rFonts w:ascii="Open Sans" w:cs="Open Sans" w:eastAsia="Open Sans" w:hAnsi="Open Sans"/>
          <w:color w:val="59595B"/>
          <w:sz w:val="22"/>
          <w:szCs w:val="22"/>
        </w:rPr>
        <w:t xml:space="preserve">Re-cadencing a platform is a one-line edit to cadence-plan.json followed by retune_cadence.py. There are no host-level scheduled tasks to drift; the legacy Windows-task path is being retired workflow by workflow.</w:t>
      </w:r>
    </w:p>
    <w:p>
      <w:r>
        <w:br w:type="page"/>
      </w:r>
    </w:p>
    <w:tbl>
      <w:tblPr>
        <w:tblW w:type="dxa" w:w="9360"/>
        <w:tblBorders>
          <w:top w:val="none"/>
          <w:left w:val="none"/>
          <w:bottom w:val="none"/>
          <w:right w:val="none"/>
          <w:insideH w:val="none"/>
          <w:insideV w:val="none"/>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100"/>
              <w:left w:type="dxa" w:w="200"/>
              <w:bottom w:type="dxa" w:w="100"/>
              <w:right w:type="dxa" w:w="0"/>
            </w:tcMar>
          </w:tcPr>
          <w:p>
            <w:pPr>
              <w:pStyle w:val="Heading1"/>
            </w:pPr>
            <w:r>
              <w:rPr>
                <w:rFonts w:ascii="Open Sans" w:cs="Open Sans" w:eastAsia="Open Sans" w:hAnsi="Open Sans"/>
                <w:b/>
                <w:bCs/>
                <w:color w:val="006DB6"/>
                <w:sz w:val="32"/>
                <w:szCs w:val="32"/>
              </w:rPr>
              <w:t xml:space="preserve">3. Agent Inventory</w:t>
            </w:r>
          </w:p>
        </w:tc>
      </w:tr>
    </w:tbl>
    <w:p>
      <w:pPr>
        <w:spacing w:after="160" w:before="160"/>
      </w:pPr>
      <w:r>
        <w:rPr>
          <w:rFonts w:ascii="Open Sans" w:cs="Open Sans" w:eastAsia="Open Sans" w:hAnsi="Open Sans"/>
          <w:color w:val="59595B"/>
          <w:sz w:val="22"/>
          <w:szCs w:val="22"/>
        </w:rPr>
        <w:t xml:space="preserve">Jian runs 24 per-platform agents, 8 horizontal agents that read across all platforms, and 7 lifecycle / workflow agents.</w:t>
      </w:r>
    </w:p>
    <w:p>
      <w:pPr>
        <w:pStyle w:val="Heading2"/>
        <w:spacing w:after="120" w:before="260"/>
      </w:pPr>
      <w:r>
        <w:rPr>
          <w:rFonts w:ascii="Open Sans" w:cs="Open Sans" w:eastAsia="Open Sans" w:hAnsi="Open Sans"/>
          <w:b/>
          <w:bCs/>
          <w:color w:val="1A1A2E"/>
          <w:sz w:val="26"/>
          <w:szCs w:val="26"/>
        </w:rPr>
        <w:t xml:space="preserve">Per-platform agents (24)</w:t>
      </w:r>
    </w:p>
    <w:p>
      <w:pPr>
        <w:spacing w:after="120" w:before="0"/>
      </w:pPr>
      <w:r>
        <w:rPr>
          <w:rFonts w:ascii="Open Sans" w:cs="Open Sans" w:eastAsia="Open Sans" w:hAnsi="Open Sans"/>
          <w:color w:val="59595B"/>
          <w:sz w:val="22"/>
          <w:szCs w:val="22"/>
        </w:rPr>
        <w:t xml:space="preserve">Each platform has a diagnose agent; high-volume platforms also split out a real-time alert function and a daily activity aggregator.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Platform</w:t>
            </w:r>
          </w:p>
        </w:tc>
        <w:tc>
          <w:tcPr>
            <w:tcW w:type="dxa" w:w="17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Primary cadence</w:t>
            </w:r>
          </w:p>
        </w:tc>
        <w:tc>
          <w:tcPr>
            <w:tcW w:type="dxa" w:w="526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What Jian watches</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Sophos Firewall</w:t>
            </w:r>
          </w:p>
        </w:tc>
        <w:tc>
          <w:tcPr>
            <w:tcW w:type="dxa" w:w="1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15 min</w:t>
            </w:r>
          </w:p>
        </w:tc>
        <w:tc>
          <w:tcPr>
            <w:tcW w:type="dxa" w:w="52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IPS hits, RDP/SSH brute force, geo-blocked traffic, port scans, ransomware indicators</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CrowdStrike Falcon</w:t>
            </w:r>
          </w:p>
        </w:tc>
        <w:tc>
          <w:tcPr>
            <w:tcW w:type="dxa" w:w="1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15 min</w:t>
            </w:r>
          </w:p>
        </w:tc>
        <w:tc>
          <w:tcPr>
            <w:tcW w:type="dxa" w:w="52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Malicious PowerShell, credential dumping, lateral movement, beacons, sensor drift</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Huntress</w:t>
            </w:r>
          </w:p>
        </w:tc>
        <w:tc>
          <w:tcPr>
            <w:tcW w:type="dxa" w:w="1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15 min</w:t>
            </w:r>
          </w:p>
        </w:tc>
        <w:tc>
          <w:tcPr>
            <w:tcW w:type="dxa" w:w="52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Persistence, lateral movement, credential theft, webshells, NOC escalations</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Meraki</w:t>
            </w:r>
          </w:p>
        </w:tc>
        <w:tc>
          <w:tcPr>
            <w:tcW w:type="dxa" w:w="1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15 min</w:t>
            </w:r>
          </w:p>
        </w:tc>
        <w:tc>
          <w:tcPr>
            <w:tcW w:type="dxa" w:w="52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Switch/AP health, IDS/IPS events, device downtime, config drift, WAN failover</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M365 Security (sign-in)</w:t>
            </w:r>
          </w:p>
        </w:tc>
        <w:tc>
          <w:tcPr>
            <w:tcW w:type="dxa" w:w="1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15 min</w:t>
            </w:r>
          </w:p>
        </w:tc>
        <w:tc>
          <w:tcPr>
            <w:tcW w:type="dxa" w:w="52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Risky users, password spray, impossible travel, legacy auth, MFA failures</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M365 Apps Service Health</w:t>
            </w:r>
          </w:p>
        </w:tc>
        <w:tc>
          <w:tcPr>
            <w:tcW w:type="dxa" w:w="1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15 min</w:t>
            </w:r>
          </w:p>
        </w:tc>
        <w:tc>
          <w:tcPr>
            <w:tcW w:type="dxa" w:w="52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Service-level health and per-tenant impact across 22 M365 workloads</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Inky Phish Fence</w:t>
            </w:r>
          </w:p>
        </w:tc>
        <w:tc>
          <w:tcPr>
            <w:tcW w:type="dxa" w:w="1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15 min</w:t>
            </w:r>
          </w:p>
        </w:tc>
        <w:tc>
          <w:tcPr>
            <w:tcW w:type="dxa" w:w="52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Phishing detections, brand impersonation, BEC indicators, user-reported messages</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rsyslog</w:t>
            </w:r>
          </w:p>
        </w:tc>
        <w:tc>
          <w:tcPr>
            <w:tcW w:type="dxa" w:w="1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15 min</w:t>
            </w:r>
          </w:p>
        </w:tc>
        <w:tc>
          <w:tcPr>
            <w:tcW w:type="dxa" w:w="52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Centralized log integrity, ingestion lag, denial spikes, IDS events</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Cisco Umbrella</w:t>
            </w:r>
          </w:p>
        </w:tc>
        <w:tc>
          <w:tcPr>
            <w:tcW w:type="dxa" w:w="1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30 min</w:t>
            </w:r>
          </w:p>
        </w:tc>
        <w:tc>
          <w:tcPr>
            <w:tcW w:type="dxa" w:w="52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DNS-layer blocks, malicious-category lookups, roaming-agent drift</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vCenter</w:t>
            </w:r>
          </w:p>
        </w:tc>
        <w:tc>
          <w:tcPr>
            <w:tcW w:type="dxa" w:w="1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30 min</w:t>
            </w:r>
          </w:p>
        </w:tc>
        <w:tc>
          <w:tcPr>
            <w:tcW w:type="dxa" w:w="52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Host health, datastore capacity, snapshot age, HA/DRS events, unpowered VMs</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3CX Voice</w:t>
            </w:r>
          </w:p>
        </w:tc>
        <w:tc>
          <w:tcPr>
            <w:tcW w:type="dxa" w:w="1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30 min</w:t>
            </w:r>
          </w:p>
        </w:tc>
        <w:tc>
          <w:tcPr>
            <w:tcW w:type="dxa" w:w="52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License/maintenance expiry, offline trunks, unregistered extensions, SIP health</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WordPress</w:t>
            </w:r>
          </w:p>
        </w:tc>
        <w:tc>
          <w:tcPr>
            <w:tcW w:type="dxa" w:w="1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30 min</w:t>
            </w:r>
          </w:p>
        </w:tc>
        <w:tc>
          <w:tcPr>
            <w:tcW w:type="dxa" w:w="52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Plugin/core version drift, login brute force, admin changes, Wordfence alerts</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Cloudflare</w:t>
            </w:r>
          </w:p>
        </w:tc>
        <w:tc>
          <w:tcPr>
            <w:tcW w:type="dxa" w:w="1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30 min</w:t>
            </w:r>
          </w:p>
        </w:tc>
        <w:tc>
          <w:tcPr>
            <w:tcW w:type="dxa" w:w="52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WAF rule hits, bot surges, DDoS L7 events, cert expiry, zone health</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EasyDMARC</w:t>
            </w:r>
          </w:p>
        </w:tc>
        <w:tc>
          <w:tcPr>
            <w:tcW w:type="dxa" w:w="1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 hour</w:t>
            </w:r>
          </w:p>
        </w:tc>
        <w:tc>
          <w:tcPr>
            <w:tcW w:type="dxa" w:w="52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DMARC posture drift, SPF/DKIM failures, new sending sources, alignment regressions</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M365 Admin (Entra)</w:t>
            </w:r>
          </w:p>
        </w:tc>
        <w:tc>
          <w:tcPr>
            <w:tcW w:type="dxa" w:w="1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 hour</w:t>
            </w:r>
          </w:p>
        </w:tc>
        <w:tc>
          <w:tcPr>
            <w:tcW w:type="dxa" w:w="52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App-credential expiry, role assignments, conditional-access state, audit changes</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M365 Compliance</w:t>
            </w:r>
          </w:p>
        </w:tc>
        <w:tc>
          <w:tcPr>
            <w:tcW w:type="dxa" w:w="1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 hour</w:t>
            </w:r>
          </w:p>
        </w:tc>
        <w:tc>
          <w:tcPr>
            <w:tcW w:type="dxa" w:w="52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Secure Score trend, MFA registration %, admin counts, CA policy gaps</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Teramind</w:t>
            </w:r>
          </w:p>
        </w:tc>
        <w:tc>
          <w:tcPr>
            <w:tcW w:type="dxa" w:w="1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 hour</w:t>
            </w:r>
          </w:p>
        </w:tc>
        <w:tc>
          <w:tcPr>
            <w:tcW w:type="dxa" w:w="52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DLP violations, insider-threat signals, agent drift, productivity anomalies</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ScreenConnect</w:t>
            </w:r>
          </w:p>
        </w:tc>
        <w:tc>
          <w:tcPr>
            <w:tcW w:type="dxa" w:w="1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 hour</w:t>
            </w:r>
          </w:p>
        </w:tc>
        <w:tc>
          <w:tcPr>
            <w:tcW w:type="dxa" w:w="52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Offline agents, stale sessions, nefarious-login indicators, file-transfer storms</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MailStore</w:t>
            </w:r>
          </w:p>
        </w:tc>
        <w:tc>
          <w:tcPr>
            <w:tcW w:type="dxa" w:w="1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2 hours</w:t>
            </w:r>
          </w:p>
        </w:tc>
        <w:tc>
          <w:tcPr>
            <w:tcW w:type="dxa" w:w="52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Archive job failures, index corruption, retention violations, disk-space issues</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ManageEngine EC</w:t>
            </w:r>
          </w:p>
        </w:tc>
        <w:tc>
          <w:tcPr>
            <w:tcW w:type="dxa" w:w="1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2 hours</w:t>
            </w:r>
          </w:p>
        </w:tc>
        <w:tc>
          <w:tcPr>
            <w:tcW w:type="dxa" w:w="52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Patch compliance, missing critical patches, agent drift, event-log errors</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M365 Storage</w:t>
            </w:r>
          </w:p>
        </w:tc>
        <w:tc>
          <w:tcPr>
            <w:tcW w:type="dxa" w:w="1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2 hours</w:t>
            </w:r>
          </w:p>
        </w:tc>
        <w:tc>
          <w:tcPr>
            <w:tcW w:type="dxa" w:w="52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Mailbox vs quota, OneDrive/SharePoint usage, org totals, growth trajectory</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Veeam VBR</w:t>
            </w:r>
          </w:p>
        </w:tc>
        <w:tc>
          <w:tcPr>
            <w:tcW w:type="dxa" w:w="1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15 min / 2h</w:t>
            </w:r>
          </w:p>
        </w:tc>
        <w:tc>
          <w:tcPr>
            <w:tcW w:type="dxa" w:w="52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Failed sessions, analyzer failures, malware findings (alert tier during backup window)</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Veeam ONE</w:t>
            </w:r>
          </w:p>
        </w:tc>
        <w:tc>
          <w:tcPr>
            <w:tcW w:type="dxa" w:w="1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15 min / 2h</w:t>
            </w:r>
          </w:p>
        </w:tc>
        <w:tc>
          <w:tcPr>
            <w:tcW w:type="dxa" w:w="52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Repository capacity, runway, repo-state anomalies, SLA reporting</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Veeam 365 / Cisco</w:t>
            </w:r>
          </w:p>
        </w:tc>
        <w:tc>
          <w:tcPr>
            <w:tcW w:type="dxa" w:w="1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6 hours</w:t>
            </w:r>
          </w:p>
        </w:tc>
        <w:tc>
          <w:tcPr>
            <w:tcW w:type="dxa" w:w="52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M365 backup coverage and failed jobs; Cisco asset inventory</w:t>
            </w:r>
          </w:p>
        </w:tc>
      </w:tr>
    </w:tbl>
    <w:p>
      <w:r>
        <w:br w:type="page"/>
      </w:r>
    </w:p>
    <w:p>
      <w:pPr>
        <w:pStyle w:val="Heading2"/>
        <w:spacing w:after="120" w:before="260"/>
      </w:pPr>
      <w:r>
        <w:rPr>
          <w:rFonts w:ascii="Open Sans" w:cs="Open Sans" w:eastAsia="Open Sans" w:hAnsi="Open Sans"/>
          <w:b/>
          <w:bCs/>
          <w:color w:val="1A1A2E"/>
          <w:sz w:val="26"/>
          <w:szCs w:val="26"/>
        </w:rPr>
        <w:t xml:space="preserve">Horizontal agents (8)</w:t>
      </w:r>
    </w:p>
    <w:p>
      <w:pPr>
        <w:spacing w:after="120" w:before="0"/>
      </w:pPr>
      <w:r>
        <w:rPr>
          <w:rFonts w:ascii="Open Sans" w:cs="Open Sans" w:eastAsia="Open Sans" w:hAnsi="Open Sans"/>
          <w:color w:val="59595B"/>
          <w:sz w:val="22"/>
          <w:szCs w:val="22"/>
        </w:rPr>
        <w:t xml:space="preserve">These read across the full per-client event store rather than a single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500"/>
        <w:gridCol w:w="4260"/>
      </w:tblGrid>
      <w:tr>
        <w:trPr>
          <w:tblHeader/>
        </w:trPr>
        <w:tc>
          <w:tcPr>
            <w:tcW w:type="dxa" w:w="23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Agent</w:t>
            </w:r>
          </w:p>
        </w:tc>
        <w:tc>
          <w:tcPr>
            <w:tcW w:type="dxa" w:w="13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Function</w:t>
            </w:r>
          </w:p>
        </w:tc>
        <w:tc>
          <w:tcPr>
            <w:tcW w:type="dxa" w:w="15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Cadence</w:t>
            </w:r>
          </w:p>
        </w:tc>
        <w:tc>
          <w:tcPr>
            <w:tcW w:type="dxa" w:w="426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Job</w:t>
            </w:r>
          </w:p>
        </w:tc>
      </w:tr>
      <w:tr>
        <w:tc>
          <w:tcPr>
            <w:tcW w:type="dxa" w:w="23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siem_correlator (real-time)</w:t>
            </w:r>
          </w:p>
        </w:tc>
        <w:tc>
          <w:tcPr>
            <w:tcW w:type="dxa" w:w="13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Alert</w:t>
            </w:r>
          </w:p>
        </w:tc>
        <w:tc>
          <w:tcPr>
            <w:tcW w:type="dxa" w:w="15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15 min</w:t>
            </w:r>
          </w:p>
        </w:tc>
        <w:tc>
          <w:tcPr>
            <w:tcW w:type="dxa" w:w="42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Maps the last hour of security events to MITRE; scores cross-platform kill chains; opens P1 on critical correlation</w:t>
            </w:r>
          </w:p>
        </w:tc>
      </w:tr>
      <w:tr>
        <w:tc>
          <w:tcPr>
            <w:tcW w:type="dxa" w:w="23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siem_correlator (retro)</w:t>
            </w:r>
          </w:p>
        </w:tc>
        <w:tc>
          <w:tcPr>
            <w:tcW w:type="dxa" w:w="13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Alert</w:t>
            </w:r>
          </w:p>
        </w:tc>
        <w:tc>
          <w:tcPr>
            <w:tcW w:type="dxa" w:w="15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Daily 14:30</w:t>
            </w:r>
          </w:p>
        </w:tc>
        <w:tc>
          <w:tcPr>
            <w:tcW w:type="dxa" w:w="42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Re-scans the prior 7 days against the fresh MITRE catalog; catches slow-burn campaigns</w:t>
            </w:r>
          </w:p>
        </w:tc>
      </w:tr>
      <w:tr>
        <w:tc>
          <w:tcPr>
            <w:tcW w:type="dxa" w:w="23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compliance_alerts</w:t>
            </w:r>
          </w:p>
        </w:tc>
        <w:tc>
          <w:tcPr>
            <w:tcW w:type="dxa" w:w="13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Alert</w:t>
            </w:r>
          </w:p>
        </w:tc>
        <w:tc>
          <w:tcPr>
            <w:tcW w:type="dxa" w:w="15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15 min</w:t>
            </w:r>
          </w:p>
        </w:tc>
        <w:tc>
          <w:tcPr>
            <w:tcW w:type="dxa" w:w="42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Real-time critical-breach scan: MFA off, audit log off, CA policy disabled, DMARC reverted, new Global Admin</w:t>
            </w:r>
          </w:p>
        </w:tc>
      </w:tr>
      <w:tr>
        <w:tc>
          <w:tcPr>
            <w:tcW w:type="dxa" w:w="23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compliance_diagnose</w:t>
            </w:r>
          </w:p>
        </w:tc>
        <w:tc>
          <w:tcPr>
            <w:tcW w:type="dxa" w:w="13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Diagnose</w:t>
            </w:r>
          </w:p>
        </w:tc>
        <w:tc>
          <w:tcPr>
            <w:tcW w:type="dxa" w:w="15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Daily 03:00</w:t>
            </w:r>
          </w:p>
        </w:tc>
        <w:tc>
          <w:tcPr>
            <w:tcW w:type="dxa" w:w="42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Per-client gap analysis across HIPAA / SOC 2 / CMMC / PCI-DSS plus the baseline (31 evaluators)</w:t>
            </w:r>
          </w:p>
        </w:tc>
      </w:tr>
      <w:tr>
        <w:tc>
          <w:tcPr>
            <w:tcW w:type="dxa" w:w="23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compliance_activity</w:t>
            </w:r>
          </w:p>
        </w:tc>
        <w:tc>
          <w:tcPr>
            <w:tcW w:type="dxa" w:w="13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Activity</w:t>
            </w:r>
          </w:p>
        </w:tc>
        <w:tc>
          <w:tcPr>
            <w:tcW w:type="dxa" w:w="15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Daily 14:30</w:t>
            </w:r>
          </w:p>
        </w:tc>
        <w:tc>
          <w:tcPr>
            <w:tcW w:type="dxa" w:w="42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Per-client posture roll-up: pass/fail by framework, top failing controls, delta vs yesterday</w:t>
            </w:r>
          </w:p>
        </w:tc>
      </w:tr>
      <w:tr>
        <w:tc>
          <w:tcPr>
            <w:tcW w:type="dxa" w:w="23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correlator_same_client</w:t>
            </w:r>
          </w:p>
        </w:tc>
        <w:tc>
          <w:tcPr>
            <w:tcW w:type="dxa" w:w="13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Correlate</w:t>
            </w:r>
          </w:p>
        </w:tc>
        <w:tc>
          <w:tcPr>
            <w:tcW w:type="dxa" w:w="15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Daily 15:00</w:t>
            </w:r>
          </w:p>
        </w:tc>
        <w:tc>
          <w:tcPr>
            <w:tcW w:type="dxa" w:w="42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One consolidated CP ticket when multiple platforms fire on the same client</w:t>
            </w:r>
          </w:p>
        </w:tc>
      </w:tr>
      <w:tr>
        <w:tc>
          <w:tcPr>
            <w:tcW w:type="dxa" w:w="23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correlator_cross_client</w:t>
            </w:r>
          </w:p>
        </w:tc>
        <w:tc>
          <w:tcPr>
            <w:tcW w:type="dxa" w:w="13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Correlate</w:t>
            </w:r>
          </w:p>
        </w:tc>
        <w:tc>
          <w:tcPr>
            <w:tcW w:type="dxa" w:w="15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Daily 15:30</w:t>
            </w:r>
          </w:p>
        </w:tc>
        <w:tc>
          <w:tcPr>
            <w:tcW w:type="dxa" w:w="42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Cross-client pattern detection (gated; routes to a Technijian-internal Teams channel)</w:t>
            </w:r>
          </w:p>
        </w:tc>
      </w:tr>
      <w:tr>
        <w:tc>
          <w:tcPr>
            <w:tcW w:type="dxa" w:w="23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learning_consolidator</w:t>
            </w:r>
          </w:p>
        </w:tc>
        <w:tc>
          <w:tcPr>
            <w:tcW w:type="dxa" w:w="13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Workflow</w:t>
            </w:r>
          </w:p>
        </w:tc>
        <w:tc>
          <w:tcPr>
            <w:tcW w:type="dxa" w:w="15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Sun 04:00</w:t>
            </w:r>
          </w:p>
        </w:tc>
        <w:tc>
          <w:tcPr>
            <w:tcW w:type="dxa" w:w="42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Mines agent_runs.jsonl and closed tickets for playbooks, client quirks, false-positive patterns</w:t>
            </w:r>
          </w:p>
        </w:tc>
      </w:tr>
    </w:tbl>
    <w:p>
      <w:pPr>
        <w:spacing w:before="220"/>
      </w:pPr>
    </w:p>
    <w:p>
      <w:pPr>
        <w:pStyle w:val="Heading2"/>
        <w:spacing w:after="120" w:before="260"/>
      </w:pPr>
      <w:r>
        <w:rPr>
          <w:rFonts w:ascii="Open Sans" w:cs="Open Sans" w:eastAsia="Open Sans" w:hAnsi="Open Sans"/>
          <w:b/>
          <w:bCs/>
          <w:color w:val="1A1A2E"/>
          <w:sz w:val="26"/>
          <w:szCs w:val="26"/>
        </w:rPr>
        <w:t xml:space="preserve">Lifecycle &amp; workflow agents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Agent</w:t>
            </w:r>
          </w:p>
        </w:tc>
        <w:tc>
          <w:tcPr>
            <w:tcW w:type="dxa" w:w="18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Cadence</w:t>
            </w:r>
          </w:p>
        </w:tc>
        <w:tc>
          <w:tcPr>
            <w:tcW w:type="dxa" w:w="516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Job</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jian_teams_bot</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Always-on</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Channel-per-ticket workflow on Bot Framework + Teams Graph; installed in 99 of 100 client tenants</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cp_poller</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Every 2 min</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Polls the Client Portal for ticket changes (CP has no webhook); fires synthetic events into the bot</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shift_reassigner</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Hourly</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Reads Teams Shifts; applies 4 routing rules plus a 3-bounce escalation cap</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morning_summary</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Daily 07:00</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Adaptive Card plus email — last 24h of agent runs and shift reassignments</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jian_voice_service</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Always-on</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Answers the support line via VAPI + OpenAI Realtime (see Section 9)</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vault_refresh</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Hourly + weekly</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Refreshes Obsidian vault topic pages; weekly enforces the review mandate</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mitre_pull</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Daily 02:00</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Pulls the fresh MITRE ATT&amp;CK STIX bundle: 858 techniques, 15 tactics, 189 groups, 824 software</w:t>
            </w:r>
          </w:p>
        </w:tc>
      </w:tr>
    </w:tbl>
    <w:p>
      <w:r>
        <w:br w:type="page"/>
      </w:r>
    </w:p>
    <w:tbl>
      <w:tblPr>
        <w:tblW w:type="dxa" w:w="9360"/>
        <w:tblBorders>
          <w:top w:val="none"/>
          <w:left w:val="none"/>
          <w:bottom w:val="none"/>
          <w:right w:val="none"/>
          <w:insideH w:val="none"/>
          <w:insideV w:val="none"/>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100"/>
              <w:left w:type="dxa" w:w="200"/>
              <w:bottom w:type="dxa" w:w="100"/>
              <w:right w:type="dxa" w:w="0"/>
            </w:tcMar>
          </w:tcPr>
          <w:p>
            <w:pPr>
              <w:pStyle w:val="Heading1"/>
            </w:pPr>
            <w:r>
              <w:rPr>
                <w:rFonts w:ascii="Open Sans" w:cs="Open Sans" w:eastAsia="Open Sans" w:hAnsi="Open Sans"/>
                <w:b/>
                <w:bCs/>
                <w:color w:val="006DB6"/>
                <w:sz w:val="32"/>
                <w:szCs w:val="32"/>
              </w:rPr>
              <w:t xml:space="preserve">4. LLM Decision Engine — 4-Tier Model Routing</w:t>
            </w:r>
          </w:p>
        </w:tc>
      </w:tr>
    </w:tbl>
    <w:p>
      <w:pPr>
        <w:spacing w:after="200" w:before="160"/>
      </w:pPr>
      <w:r>
        <w:rPr>
          <w:rFonts w:ascii="Open Sans" w:cs="Open Sans" w:eastAsia="Open Sans" w:hAnsi="Open Sans"/>
          <w:color w:val="59595B"/>
          <w:sz w:val="22"/>
          <w:szCs w:val="22"/>
        </w:rPr>
        <w:t xml:space="preserve">All agent LLM calls route through a LiteLLM proxy on TE-DC-LITELLM (10.100.254.102:4000). As of May 2026 the configuration was rewritten to replace expensive Anthropic-only calls with lower-priced primaries from Google, DeepSeek, and Moonshot/Kimi — cutting estimated daily agent spend by roughly 85 to 90 percent while preserving quality through cross-family fallback chains.</w:t>
      </w:r>
    </w:p>
    <w:p>
      <w:pPr>
        <w:pStyle w:val="Heading2"/>
        <w:spacing w:after="120" w:before="260"/>
      </w:pPr>
      <w:r>
        <w:rPr>
          <w:rFonts w:ascii="Open Sans" w:cs="Open Sans" w:eastAsia="Open Sans" w:hAnsi="Open Sans"/>
          <w:b/>
          <w:bCs/>
          <w:color w:val="1A1A2E"/>
          <w:sz w:val="26"/>
          <w:szCs w:val="26"/>
        </w:rPr>
        <w:t xml:space="preserve">Tier routing cascade</w:t>
      </w:r>
    </w:p>
    <w:tbl>
      <w:tblPr>
        <w:tblW w:type="dxa" w:w="9360"/>
        <w:tblBorders>
          <w:top w:val="none"/>
          <w:left w:val="none"/>
          <w:bottom w:val="none"/>
          <w:right w:val="none"/>
          <w:insideH w:val="none"/>
          <w:insideV w:val="none"/>
        </w:tblBorders>
      </w:tblPr>
      <w:tblGrid>
        <w:gridCol w:w="2880"/>
        <w:gridCol w:w="360"/>
        <w:gridCol w:w="2880"/>
        <w:gridCol w:w="360"/>
        <w:gridCol w:w="2880"/>
      </w:tblGrid>
      <w:tr>
        <w:tc>
          <w:tcPr>
            <w:tcW w:type="dxa" w:w="2880"/>
            <w:tcBorders>
              <w:top w:val="single" w:color="1EAAC8" w:sz="2"/>
              <w:left w:val="single" w:color="1EAAC8" w:sz="2"/>
              <w:bottom w:val="single" w:color="1EAAC8" w:sz="2"/>
              <w:right w:val="single" w:color="1EAAC8" w:sz="2"/>
            </w:tcBorders>
            <w:shd w:fill="F8F9FA" w:val="clear"/>
            <w:tcMar>
              <w:top w:type="dxa" w:w="120"/>
              <w:left w:type="dxa" w:w="80"/>
              <w:bottom w:type="dxa" w:w="120"/>
              <w:right w:type="dxa" w:w="80"/>
            </w:tcMar>
            <w:vAlign w:val="center"/>
          </w:tcPr>
          <w:p>
            <w:pPr>
              <w:spacing w:after="30"/>
              <w:jc w:val="center"/>
            </w:pPr>
            <w:r>
              <w:rPr>
                <w:rFonts w:ascii="Open Sans" w:cs="Open Sans" w:eastAsia="Open Sans" w:hAnsi="Open Sans"/>
                <w:b/>
                <w:bCs/>
                <w:color w:val="1EAAC8"/>
                <w:sz w:val="18"/>
                <w:szCs w:val="18"/>
              </w:rPr>
              <w:t xml:space="preserve">Triage</w:t>
            </w:r>
          </w:p>
          <w:p>
            <w:pPr>
              <w:jc w:val="center"/>
            </w:pPr>
            <w:r>
              <w:rPr>
                <w:rFonts w:ascii="Open Sans" w:cs="Open Sans" w:eastAsia="Open Sans" w:hAnsi="Open Sans"/>
                <w:color w:val="59595B"/>
                <w:sz w:val="14"/>
                <w:szCs w:val="14"/>
              </w:rPr>
              <w:t xml:space="preserve">is it worth analyzing?</w:t>
            </w:r>
          </w:p>
        </w:tc>
        <w:tc>
          <w:tcPr>
            <w:tcW w:type="dxa" w:w="360"/>
            <w:tcBorders>
              <w:top w:val="none"/>
              <w:left w:val="none"/>
              <w:bottom w:val="none"/>
              <w:right w:val="none"/>
            </w:tcBorders>
            <w:vAlign w:val="center"/>
          </w:tcPr>
          <w:p>
            <w:pPr>
              <w:jc w:val="center"/>
            </w:pPr>
            <w:r>
              <w:rPr>
                <w:rFonts w:ascii="Open Sans" w:cs="Open Sans" w:eastAsia="Open Sans" w:hAnsi="Open Sans"/>
                <w:b/>
                <w:bCs/>
                <w:color w:val="F67D4B"/>
                <w:sz w:val="28"/>
                <w:szCs w:val="28"/>
              </w:rPr>
              <w:t xml:space="preserve">→</w:t>
            </w:r>
          </w:p>
        </w:tc>
        <w:tc>
          <w:tcPr>
            <w:tcW w:type="dxa" w:w="2880"/>
            <w:tcBorders>
              <w:top w:val="single" w:color="006DB6" w:sz="2"/>
              <w:left w:val="single" w:color="006DB6" w:sz="2"/>
              <w:bottom w:val="single" w:color="006DB6" w:sz="2"/>
              <w:right w:val="single" w:color="006DB6" w:sz="2"/>
            </w:tcBorders>
            <w:shd w:fill="F8F9FA" w:val="clear"/>
            <w:tcMar>
              <w:top w:type="dxa" w:w="120"/>
              <w:left w:type="dxa" w:w="80"/>
              <w:bottom w:type="dxa" w:w="120"/>
              <w:right w:type="dxa" w:w="80"/>
            </w:tcMar>
            <w:vAlign w:val="center"/>
          </w:tcPr>
          <w:p>
            <w:pPr>
              <w:spacing w:after="30"/>
              <w:jc w:val="center"/>
            </w:pPr>
            <w:r>
              <w:rPr>
                <w:rFonts w:ascii="Open Sans" w:cs="Open Sans" w:eastAsia="Open Sans" w:hAnsi="Open Sans"/>
                <w:b/>
                <w:bCs/>
                <w:color w:val="006DB6"/>
                <w:sz w:val="18"/>
                <w:szCs w:val="18"/>
              </w:rPr>
              <w:t xml:space="preserve">Decision</w:t>
            </w:r>
          </w:p>
          <w:p>
            <w:pPr>
              <w:jc w:val="center"/>
            </w:pPr>
            <w:r>
              <w:rPr>
                <w:rFonts w:ascii="Open Sans" w:cs="Open Sans" w:eastAsia="Open Sans" w:hAnsi="Open Sans"/>
                <w:color w:val="59595B"/>
                <w:sz w:val="14"/>
                <w:szCs w:val="14"/>
              </w:rPr>
              <w:t xml:space="preserve">root cause + MITRE tag</w:t>
            </w:r>
          </w:p>
        </w:tc>
        <w:tc>
          <w:tcPr>
            <w:tcW w:type="dxa" w:w="360"/>
            <w:tcBorders>
              <w:top w:val="none"/>
              <w:left w:val="none"/>
              <w:bottom w:val="none"/>
              <w:right w:val="none"/>
            </w:tcBorders>
            <w:vAlign w:val="center"/>
          </w:tcPr>
          <w:p>
            <w:pPr>
              <w:jc w:val="center"/>
            </w:pPr>
            <w:r>
              <w:rPr>
                <w:rFonts w:ascii="Open Sans" w:cs="Open Sans" w:eastAsia="Open Sans" w:hAnsi="Open Sans"/>
                <w:b/>
                <w:bCs/>
                <w:color w:val="F67D4B"/>
                <w:sz w:val="28"/>
                <w:szCs w:val="28"/>
              </w:rPr>
              <w:t xml:space="preserve">→</w:t>
            </w:r>
          </w:p>
        </w:tc>
        <w:tc>
          <w:tcPr>
            <w:tcW w:type="dxa" w:w="2880"/>
            <w:tcBorders>
              <w:top w:val="single" w:color="F67D4B" w:sz="2"/>
              <w:left w:val="single" w:color="F67D4B" w:sz="2"/>
              <w:bottom w:val="single" w:color="F67D4B" w:sz="2"/>
              <w:right w:val="single" w:color="F67D4B" w:sz="2"/>
            </w:tcBorders>
            <w:shd w:fill="F8F9FA" w:val="clear"/>
            <w:tcMar>
              <w:top w:type="dxa" w:w="120"/>
              <w:left w:type="dxa" w:w="80"/>
              <w:bottom w:type="dxa" w:w="120"/>
              <w:right w:type="dxa" w:w="80"/>
            </w:tcMar>
            <w:vAlign w:val="center"/>
          </w:tcPr>
          <w:p>
            <w:pPr>
              <w:spacing w:after="30"/>
              <w:jc w:val="center"/>
            </w:pPr>
            <w:r>
              <w:rPr>
                <w:rFonts w:ascii="Open Sans" w:cs="Open Sans" w:eastAsia="Open Sans" w:hAnsi="Open Sans"/>
                <w:b/>
                <w:bCs/>
                <w:color w:val="F67D4B"/>
                <w:sz w:val="18"/>
                <w:szCs w:val="18"/>
              </w:rPr>
              <w:t xml:space="preserve">Escalate</w:t>
            </w:r>
          </w:p>
          <w:p>
            <w:pPr>
              <w:jc w:val="center"/>
            </w:pPr>
            <w:r>
              <w:rPr>
                <w:rFonts w:ascii="Open Sans" w:cs="Open Sans" w:eastAsia="Open Sans" w:hAnsi="Open Sans"/>
                <w:color w:val="59595B"/>
                <w:sz w:val="14"/>
                <w:szCs w:val="14"/>
              </w:rPr>
              <w:t xml:space="preserve">breach-level cases</w:t>
            </w:r>
          </w:p>
        </w:tc>
      </w:tr>
    </w:tbl>
    <w:p>
      <w:pPr>
        <w:spacing w:before="200"/>
      </w:pPr>
    </w:p>
    <w:p>
      <w:pPr>
        <w:pStyle w:val="Heading2"/>
        <w:spacing w:after="120" w:before="260"/>
      </w:pPr>
      <w:r>
        <w:rPr>
          <w:rFonts w:ascii="Open Sans" w:cs="Open Sans" w:eastAsia="Open Sans" w:hAnsi="Open Sans"/>
          <w:b/>
          <w:bCs/>
          <w:color w:val="1A1A2E"/>
          <w:sz w:val="26"/>
          <w:szCs w:val="26"/>
        </w:rPr>
        <w:t xml:space="preserve">Tier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160"/>
        <w:gridCol w:w="1000"/>
        <w:gridCol w:w="2100"/>
      </w:tblGrid>
      <w:tr>
        <w:trPr>
          <w:tblHeader/>
        </w:trPr>
        <w:tc>
          <w:tcPr>
            <w:tcW w:type="dxa" w:w="15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Tier</w:t>
            </w:r>
          </w:p>
        </w:tc>
        <w:tc>
          <w:tcPr>
            <w:tcW w:type="dxa" w:w="26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When used</w:t>
            </w:r>
          </w:p>
        </w:tc>
        <w:tc>
          <w:tcPr>
            <w:tcW w:type="dxa" w:w="216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Primary model</w:t>
            </w:r>
          </w:p>
        </w:tc>
        <w:tc>
          <w:tcPr>
            <w:tcW w:type="dxa" w:w="10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$/1M in</w:t>
            </w:r>
          </w:p>
        </w:tc>
        <w:tc>
          <w:tcPr>
            <w:tcW w:type="dxa" w:w="21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Key fallbacks</w:t>
            </w:r>
          </w:p>
        </w:tc>
      </w:tr>
      <w:tr>
        <w:tc>
          <w:tcPr>
            <w:tcW w:type="dxa" w:w="15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triage</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Quick binary classifier</w:t>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gemini-2.5-flash</w:t>
            </w:r>
          </w:p>
        </w:tc>
        <w:tc>
          <w:tcPr>
            <w:tcW w:type="dxa" w:w="1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$0.30</w:t>
            </w:r>
          </w:p>
        </w:tc>
        <w:tc>
          <w:tcPr>
            <w:tcW w:type="dxa" w:w="21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deepseek-v4-flash → gpt-4.1-nano → MiniMax → glm-4.7-flash → haiku</w:t>
            </w:r>
          </w:p>
        </w:tc>
      </w:tr>
      <w:tr>
        <w:tc>
          <w:tcPr>
            <w:tcW w:type="dxa" w:w="15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decision</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Full diagnostic analysis</w:t>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gemini-2.5-flash</w:t>
            </w:r>
          </w:p>
        </w:tc>
        <w:tc>
          <w:tcPr>
            <w:tcW w:type="dxa" w:w="1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$0.30</w:t>
            </w:r>
          </w:p>
        </w:tc>
        <w:tc>
          <w:tcPr>
            <w:tcW w:type="dxa" w:w="21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deepseek-v4-flash → MiniMax-M1 → kimi-k2 → sonnet</w:t>
            </w:r>
          </w:p>
        </w:tc>
      </w:tr>
      <w:tr>
        <w:tc>
          <w:tcPr>
            <w:tcW w:type="dxa" w:w="15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decision-codex</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Code / config / log parsing</w:t>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deepseek-v4-flash</w:t>
            </w:r>
          </w:p>
        </w:tc>
        <w:tc>
          <w:tcPr>
            <w:tcW w:type="dxa" w:w="1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$0.14</w:t>
            </w:r>
          </w:p>
        </w:tc>
        <w:tc>
          <w:tcPr>
            <w:tcW w:type="dxa" w:w="21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gpt-4.1-mini</w:t>
            </w:r>
          </w:p>
        </w:tc>
      </w:tr>
      <w:tr>
        <w:tc>
          <w:tcPr>
            <w:tcW w:type="dxa" w:w="15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escalate</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Breach forensics, ransomware</w:t>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claude-sonnet-4-6</w:t>
            </w:r>
          </w:p>
        </w:tc>
        <w:tc>
          <w:tcPr>
            <w:tcW w:type="dxa" w:w="1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~$0.30*</w:t>
            </w:r>
          </w:p>
        </w:tc>
        <w:tc>
          <w:tcPr>
            <w:tcW w:type="dxa" w:w="21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deepseek-v4-pro → gemini-2.5-pro → kimi-k2 → opus</w:t>
            </w:r>
          </w:p>
        </w:tc>
      </w:tr>
      <w:tr>
        <w:tc>
          <w:tcPr>
            <w:tcW w:type="dxa" w:w="15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long_ctx</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Multi-month context tasks</w:t>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deepseek-v4-flash</w:t>
            </w:r>
          </w:p>
        </w:tc>
        <w:tc>
          <w:tcPr>
            <w:tcW w:type="dxa" w:w="1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$0.14</w:t>
            </w:r>
          </w:p>
        </w:tc>
        <w:tc>
          <w:tcPr>
            <w:tcW w:type="dxa" w:w="21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gemini-2.5-flash → gemini-2.5-pro → kimi-k2</w:t>
            </w:r>
          </w:p>
        </w:tc>
      </w:tr>
    </w:tbl>
    <w:p>
      <w:pPr>
        <w:spacing w:after="120" w:before="100"/>
      </w:pPr>
      <w:r>
        <w:rPr>
          <w:rFonts w:ascii="Open Sans" w:cs="Open Sans" w:eastAsia="Open Sans" w:hAnsi="Open Sans"/>
          <w:i/>
          <w:iCs/>
          <w:color w:val="59595B"/>
          <w:sz w:val="18"/>
          <w:szCs w:val="18"/>
        </w:rPr>
        <w:t xml:space="preserve">* Sonnet’s effective input price reflects Anthropic’s 90% prompt-cache discount on the stable escalate-tier system prompt.</w:t>
      </w:r>
    </w:p>
    <w:p>
      <w:pPr>
        <w:pStyle w:val="Heading2"/>
        <w:spacing w:after="120" w:before="260"/>
      </w:pPr>
      <w:r>
        <w:rPr>
          <w:rFonts w:ascii="Open Sans" w:cs="Open Sans" w:eastAsia="Open Sans" w:hAnsi="Open Sans"/>
          <w:b/>
          <w:bCs/>
          <w:color w:val="1A1A2E"/>
          <w:sz w:val="26"/>
          <w:szCs w:val="26"/>
        </w:rPr>
        <w:t xml:space="preserve">Why these choices</w:t>
      </w:r>
    </w:p>
    <w:p>
      <w:pPr>
        <w:pStyle w:val="ListParagraph"/>
        <w:numPr>
          <w:ilvl w:val="0"/>
          <w:numId w:val="2"/>
        </w:numPr>
        <w:spacing w:after="60"/>
      </w:pPr>
      <w:r>
        <w:rPr>
          <w:rFonts w:ascii="Open Sans" w:cs="Open Sans" w:eastAsia="Open Sans" w:hAnsi="Open Sans"/>
          <w:b/>
          <w:bCs/>
          <w:color w:val="1A1A2E"/>
          <w:sz w:val="22"/>
          <w:szCs w:val="22"/>
        </w:rPr>
        <w:t xml:space="preserve">Gemini 2.5 Flash as decision primary — </w:t>
      </w:r>
      <w:r>
        <w:rPr>
          <w:rFonts w:ascii="Open Sans" w:cs="Open Sans" w:eastAsia="Open Sans" w:hAnsi="Open Sans"/>
          <w:color w:val="59595B"/>
          <w:sz w:val="22"/>
          <w:szCs w:val="22"/>
        </w:rPr>
        <w:t xml:space="preserve">$0.30/M versus Sonnet’s $3.00/M, ten times cheaper, with a thinking mode capable of the same diagnostic reasoning. Decision is the highest-volume paid tier, so this is where savings matter most.</w:t>
      </w:r>
    </w:p>
    <w:p>
      <w:pPr>
        <w:pStyle w:val="ListParagraph"/>
        <w:numPr>
          <w:ilvl w:val="0"/>
          <w:numId w:val="2"/>
        </w:numPr>
        <w:spacing w:after="60"/>
      </w:pPr>
      <w:r>
        <w:rPr>
          <w:rFonts w:ascii="Open Sans" w:cs="Open Sans" w:eastAsia="Open Sans" w:hAnsi="Open Sans"/>
          <w:b/>
          <w:bCs/>
          <w:color w:val="1A1A2E"/>
          <w:sz w:val="22"/>
          <w:szCs w:val="22"/>
        </w:rPr>
        <w:t xml:space="preserve">DeepSeek V4-Flash for long context — </w:t>
      </w:r>
      <w:r>
        <w:rPr>
          <w:rFonts w:ascii="Open Sans" w:cs="Open Sans" w:eastAsia="Open Sans" w:hAnsi="Open Sans"/>
          <w:color w:val="59595B"/>
          <w:sz w:val="22"/>
          <w:szCs w:val="22"/>
        </w:rPr>
        <w:t xml:space="preserve">$0.14/M with a 1M-token window holds an entire client’s alert history in a single prompt, nine times cheaper than Gemini 2.5 Pro for the same window.</w:t>
      </w:r>
    </w:p>
    <w:p>
      <w:pPr>
        <w:pStyle w:val="ListParagraph"/>
        <w:numPr>
          <w:ilvl w:val="0"/>
          <w:numId w:val="2"/>
        </w:numPr>
        <w:spacing w:after="60"/>
      </w:pPr>
      <w:r>
        <w:rPr>
          <w:rFonts w:ascii="Open Sans" w:cs="Open Sans" w:eastAsia="Open Sans" w:hAnsi="Open Sans"/>
          <w:b/>
          <w:bCs/>
          <w:color w:val="1A1A2E"/>
          <w:sz w:val="22"/>
          <w:szCs w:val="22"/>
        </w:rPr>
        <w:t xml:space="preserve">Sonnet for escalate with caching — </w:t>
      </w:r>
      <w:r>
        <w:rPr>
          <w:rFonts w:ascii="Open Sans" w:cs="Open Sans" w:eastAsia="Open Sans" w:hAnsi="Open Sans"/>
          <w:color w:val="59595B"/>
          <w:sz w:val="22"/>
          <w:szCs w:val="22"/>
        </w:rPr>
        <w:t xml:space="preserve">the 90% prompt-cache discount on stable prompts yields about $0.30/M effective — the same as the Flash primary but with a higher quality ceiling for breach-level incidents.</w:t>
      </w:r>
    </w:p>
    <w:p>
      <w:pPr>
        <w:pStyle w:val="ListParagraph"/>
        <w:numPr>
          <w:ilvl w:val="0"/>
          <w:numId w:val="2"/>
        </w:numPr>
        <w:spacing w:after="60"/>
      </w:pPr>
      <w:r>
        <w:rPr>
          <w:rFonts w:ascii="Open Sans" w:cs="Open Sans" w:eastAsia="Open Sans" w:hAnsi="Open Sans"/>
          <w:b/>
          <w:bCs/>
          <w:color w:val="1A1A2E"/>
          <w:sz w:val="22"/>
          <w:szCs w:val="22"/>
        </w:rPr>
        <w:t xml:space="preserve">GLM-4.7-Flash (free) as last resort — </w:t>
      </w:r>
      <w:r>
        <w:rPr>
          <w:rFonts w:ascii="Open Sans" w:cs="Open Sans" w:eastAsia="Open Sans" w:hAnsi="Open Sans"/>
          <w:color w:val="59595B"/>
          <w:sz w:val="22"/>
          <w:szCs w:val="22"/>
        </w:rPr>
        <w:t xml:space="preserve">callable only when Zhipu allows U.S. egress; if blocked, the chain falls through to Haiku with no downside.</w:t>
      </w:r>
    </w:p>
    <w:p>
      <w:pPr>
        <w:pStyle w:val="ListParagraph"/>
        <w:numPr>
          <w:ilvl w:val="0"/>
          <w:numId w:val="2"/>
        </w:numPr>
        <w:spacing w:after="60"/>
      </w:pPr>
      <w:r>
        <w:rPr>
          <w:rFonts w:ascii="Open Sans" w:cs="Open Sans" w:eastAsia="Open Sans" w:hAnsi="Open Sans"/>
          <w:b/>
          <w:bCs/>
          <w:color w:val="1A1A2E"/>
          <w:sz w:val="22"/>
          <w:szCs w:val="22"/>
        </w:rPr>
        <w:t xml:space="preserve">Cross-family fallbacks — </w:t>
      </w:r>
      <w:r>
        <w:rPr>
          <w:rFonts w:ascii="Open Sans" w:cs="Open Sans" w:eastAsia="Open Sans" w:hAnsi="Open Sans"/>
          <w:color w:val="59595B"/>
          <w:sz w:val="22"/>
          <w:szCs w:val="22"/>
        </w:rPr>
        <w:t xml:space="preserve">pairing Anthropic, Google, DeepSeek, and Moonshot ensures one model’s failure mode is not reinforced by a same-family fallback.</w:t>
      </w:r>
    </w:p>
    <w:p>
      <w:pPr>
        <w:pStyle w:val="Heading2"/>
        <w:spacing w:after="120" w:before="260"/>
      </w:pPr>
      <w:r>
        <w:rPr>
          <w:rFonts w:ascii="Open Sans" w:cs="Open Sans" w:eastAsia="Open Sans" w:hAnsi="Open Sans"/>
          <w:b/>
          <w:bCs/>
          <w:color w:val="1A1A2E"/>
          <w:sz w:val="26"/>
          <w:szCs w:val="26"/>
        </w:rPr>
        <w:t xml:space="preserve">Components outside the gateway (intentional)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Component</w:t>
            </w:r>
          </w:p>
        </w:tc>
        <w:tc>
          <w:tcPr>
            <w:tcW w:type="dxa" w:w="28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Model</w:t>
            </w:r>
          </w:p>
        </w:tc>
        <w:tc>
          <w:tcPr>
            <w:tcW w:type="dxa" w:w="356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Why</w:t>
            </w:r>
          </w:p>
        </w:tc>
      </w:tr>
      <w:tr>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Jian Voice agent</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gpt-5.5</w:t>
            </w:r>
          </w:p>
        </w:tc>
        <w:tc>
          <w:tcPr>
            <w:tcW w:type="dxa" w:w="3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VAPI manages the OpenAI Realtime connection directly — not LiteLLM-compatible</w:t>
            </w:r>
          </w:p>
        </w:tc>
      </w:tr>
      <w:tr>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Jian Teams bot</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claude-haiku-4-5</w:t>
            </w:r>
          </w:p>
        </w:tc>
        <w:tc>
          <w:tcPr>
            <w:tcW w:type="dxa" w:w="3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User-facing; quality consistency outweighs further optimization</w:t>
            </w:r>
          </w:p>
        </w:tc>
      </w:tr>
      <w:tr>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Lead qualifier</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claude-sonnet-4-6</w:t>
            </w:r>
          </w:p>
        </w:tc>
        <w:tc>
          <w:tcPr>
            <w:tcW w:type="dxa" w:w="3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External and sales-facing; no fallback acceptable</w:t>
            </w:r>
          </w:p>
        </w:tc>
      </w:tr>
      <w:tr>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AI conversation tester</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gpt-4o</w:t>
            </w:r>
          </w:p>
        </w:tc>
        <w:tc>
          <w:tcPr>
            <w:tcW w:type="dxa" w:w="3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Test harness only</w:t>
            </w:r>
          </w:p>
        </w:tc>
      </w:tr>
    </w:tbl>
    <w:p>
      <w:pPr>
        <w:pStyle w:val="Heading2"/>
        <w:spacing w:after="120" w:before="260"/>
      </w:pPr>
      <w:r>
        <w:rPr>
          <w:rFonts w:ascii="Open Sans" w:cs="Open Sans" w:eastAsia="Open Sans" w:hAnsi="Open Sans"/>
          <w:b/>
          <w:bCs/>
          <w:color w:val="1A1A2E"/>
          <w:sz w:val="26"/>
          <w:szCs w:val="26"/>
        </w:rPr>
        <w:t xml:space="preserve">Weekly model catalog refresh</w:t>
      </w:r>
    </w:p>
    <w:p>
      <w:pPr>
        <w:spacing w:after="160" w:before="0"/>
      </w:pPr>
      <w:r>
        <w:rPr>
          <w:rFonts w:ascii="Open Sans" w:cs="Open Sans" w:eastAsia="Open Sans" w:hAnsi="Open Sans"/>
          <w:color w:val="59595B"/>
          <w:sz w:val="22"/>
          <w:szCs w:val="22"/>
        </w:rPr>
        <w:t xml:space="preserve">A scheduled job (_model_catalog.py refresh) runs every Sunday at 06:00 PT. It queries all eight provider APIs for current availability and pricing, auto-patches deprecated model aliases at least 30 days before their cutoff, writes a summary to the knowledge vault, and emails the founder when any model is deprecated or re-priced by more than 20 percent. This keeps the platform on the newest models and continuously drives spend down.</w:t>
      </w:r>
    </w:p>
    <w:p>
      <w:r>
        <w:br w:type="page"/>
      </w:r>
    </w:p>
    <w:tbl>
      <w:tblPr>
        <w:tblW w:type="dxa" w:w="9360"/>
        <w:tblBorders>
          <w:top w:val="none"/>
          <w:left w:val="none"/>
          <w:bottom w:val="none"/>
          <w:right w:val="none"/>
          <w:insideH w:val="none"/>
          <w:insideV w:val="none"/>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100"/>
              <w:left w:type="dxa" w:w="200"/>
              <w:bottom w:type="dxa" w:w="100"/>
              <w:right w:type="dxa" w:w="0"/>
            </w:tcMar>
          </w:tcPr>
          <w:p>
            <w:pPr>
              <w:pStyle w:val="Heading1"/>
            </w:pPr>
            <w:r>
              <w:rPr>
                <w:rFonts w:ascii="Open Sans" w:cs="Open Sans" w:eastAsia="Open Sans" w:hAnsi="Open Sans"/>
                <w:b/>
                <w:bCs/>
                <w:color w:val="006DB6"/>
                <w:sz w:val="32"/>
                <w:szCs w:val="32"/>
              </w:rPr>
              <w:t xml:space="preserve">5. Workflow &amp; Cadence Reference</w:t>
            </w:r>
          </w:p>
        </w:tc>
      </w:tr>
    </w:tbl>
    <w:p>
      <w:pPr>
        <w:spacing w:after="160" w:before="160"/>
      </w:pPr>
      <w:r>
        <w:rPr>
          <w:rFonts w:ascii="Open Sans" w:cs="Open Sans" w:eastAsia="Open Sans" w:hAnsi="Open Sans"/>
          <w:color w:val="59595B"/>
          <w:sz w:val="22"/>
          <w:szCs w:val="22"/>
        </w:rPr>
        <w:t xml:space="preserve">Every agent runs from n8n on the cadence shown. The cadence file is the canonical schedule; one edit re-applies every per-platform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tblHeader/>
        </w:trPr>
        <w:tc>
          <w:tcPr>
            <w:tcW w:type="dxa" w:w="21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Tier</w:t>
            </w:r>
          </w:p>
        </w:tc>
        <w:tc>
          <w:tcPr>
            <w:tcW w:type="dxa" w:w="15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Cadence</w:t>
            </w:r>
          </w:p>
        </w:tc>
        <w:tc>
          <w:tcPr>
            <w:tcW w:type="dxa" w:w="576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Members</w:t>
            </w:r>
          </w:p>
        </w:tc>
      </w:tr>
      <w:tr>
        <w:tc>
          <w:tcPr>
            <w:tcW w:type="dxa" w:w="21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Alert (real-time)</w:t>
            </w:r>
          </w:p>
        </w:tc>
        <w:tc>
          <w:tcPr>
            <w:tcW w:type="dxa" w:w="15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15 min</w:t>
            </w:r>
          </w:p>
        </w:tc>
        <w:tc>
          <w:tcPr>
            <w:tcW w:type="dxa" w:w="5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Sophos, CrowdStrike, Huntress, Meraki, M365 Security, M365 Apps, Inky, rsyslog, compliance_alerts, siem real-time, Veeam (backup window)</w:t>
            </w:r>
          </w:p>
        </w:tc>
      </w:tr>
      <w:tr>
        <w:tc>
          <w:tcPr>
            <w:tcW w:type="dxa" w:w="21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Web / DNS / voice</w:t>
            </w:r>
          </w:p>
        </w:tc>
        <w:tc>
          <w:tcPr>
            <w:tcW w:type="dxa" w:w="15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30 min</w:t>
            </w:r>
          </w:p>
        </w:tc>
        <w:tc>
          <w:tcPr>
            <w:tcW w:type="dxa" w:w="5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WordPress, Cloudflare, Umbrella, vCenter, 3CX Voice</w:t>
            </w:r>
          </w:p>
        </w:tc>
      </w:tr>
      <w:tr>
        <w:tc>
          <w:tcPr>
            <w:tcW w:type="dxa" w:w="21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Operational</w:t>
            </w:r>
          </w:p>
        </w:tc>
        <w:tc>
          <w:tcPr>
            <w:tcW w:type="dxa" w:w="15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1 hour</w:t>
            </w:r>
          </w:p>
        </w:tc>
        <w:tc>
          <w:tcPr>
            <w:tcW w:type="dxa" w:w="5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EasyDMARC, M365 Admin, M365 Compliance, Teramind, ScreenConnect, shift_reassigner, vault_refresh</w:t>
            </w:r>
          </w:p>
        </w:tc>
      </w:tr>
      <w:tr>
        <w:tc>
          <w:tcPr>
            <w:tcW w:type="dxa" w:w="21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Posture</w:t>
            </w:r>
          </w:p>
        </w:tc>
        <w:tc>
          <w:tcPr>
            <w:tcW w:type="dxa" w:w="15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2 hours</w:t>
            </w:r>
          </w:p>
        </w:tc>
        <w:tc>
          <w:tcPr>
            <w:tcW w:type="dxa" w:w="5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MailStore, ManageEngine EC, Veeam VBR/ONE (daytime), M365 Storage</w:t>
            </w:r>
          </w:p>
        </w:tc>
      </w:tr>
      <w:tr>
        <w:tc>
          <w:tcPr>
            <w:tcW w:type="dxa" w:w="21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Capacity</w:t>
            </w:r>
          </w:p>
        </w:tc>
        <w:tc>
          <w:tcPr>
            <w:tcW w:type="dxa" w:w="15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6 hours</w:t>
            </w:r>
          </w:p>
        </w:tc>
        <w:tc>
          <w:tcPr>
            <w:tcW w:type="dxa" w:w="5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Veeam 365 (daytime), Cisco asset inventory</w:t>
            </w:r>
          </w:p>
        </w:tc>
      </w:tr>
      <w:tr>
        <w:tc>
          <w:tcPr>
            <w:tcW w:type="dxa" w:w="21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Activity / nightly</w:t>
            </w:r>
          </w:p>
        </w:tc>
        <w:tc>
          <w:tcPr>
            <w:tcW w:type="dxa" w:w="15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Daily</w:t>
            </w:r>
          </w:p>
        </w:tc>
        <w:tc>
          <w:tcPr>
            <w:tcW w:type="dxa" w:w="5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02:00 MITRE pull, 03:00 compliance diagnose, 07:00 morning summary, 14:00 all-platform diagnose, 14:30 activity aggregators + retro SIEM, 15:00/15:30 correlators</w:t>
            </w:r>
          </w:p>
        </w:tc>
      </w:tr>
      <w:tr>
        <w:tc>
          <w:tcPr>
            <w:tcW w:type="dxa" w:w="21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Weekly</w:t>
            </w:r>
          </w:p>
        </w:tc>
        <w:tc>
          <w:tcPr>
            <w:tcW w:type="dxa" w:w="15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Sun</w:t>
            </w:r>
          </w:p>
        </w:tc>
        <w:tc>
          <w:tcPr>
            <w:tcW w:type="dxa" w:w="5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04:00 learning consolidator, 06:00 model catalog refresh</w:t>
            </w:r>
          </w:p>
        </w:tc>
      </w:tr>
    </w:tbl>
    <w:p>
      <w:pPr>
        <w:spacing w:before="200"/>
      </w:pPr>
    </w:p>
    <w:p>
      <w:pPr>
        <w:pStyle w:val="Heading2"/>
        <w:spacing w:after="120" w:before="260"/>
      </w:pPr>
      <w:r>
        <w:rPr>
          <w:rFonts w:ascii="Open Sans" w:cs="Open Sans" w:eastAsia="Open Sans" w:hAnsi="Open Sans"/>
          <w:b/>
          <w:bCs/>
          <w:color w:val="1A1A2E"/>
          <w:sz w:val="26"/>
          <w:szCs w:val="26"/>
        </w:rPr>
        <w:t xml:space="preserve">Three agent functions per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Function</w:t>
            </w:r>
          </w:p>
        </w:tc>
        <w:tc>
          <w:tcPr>
            <w:tcW w:type="dxa" w:w="26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When it fires</w:t>
            </w:r>
          </w:p>
        </w:tc>
        <w:tc>
          <w:tcPr>
            <w:tcW w:type="dxa" w:w="486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What it produces</w:t>
            </w:r>
          </w:p>
        </w:tc>
      </w:tr>
      <w:tr>
        <w:tc>
          <w:tcPr>
            <w:tcW w:type="dxa" w:w="19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Alert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On cadence (15m–6h)</w:t>
            </w:r>
          </w:p>
        </w:tc>
        <w:tc>
          <w:tcPr>
            <w:tcW w:type="dxa" w:w="48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Detects critical events as they happen; opens a P1/P2 ticket and pushes an Adaptive Card to the Jian Alerts channel</w:t>
            </w:r>
          </w:p>
        </w:tc>
      </w:tr>
      <w:tr>
        <w:tc>
          <w:tcPr>
            <w:tcW w:type="dxa" w:w="19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Diagnose</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Daily 14:00 (or = alert cadence)</w:t>
            </w:r>
          </w:p>
        </w:tc>
        <w:tc>
          <w:tcPr>
            <w:tcW w:type="dxa" w:w="48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Reads the day’s data through the gateway, decides which findings warrant a ticket, attaches a recommended fix and MITRE tag</w:t>
            </w:r>
          </w:p>
        </w:tc>
      </w:tr>
      <w:tr>
        <w:tc>
          <w:tcPr>
            <w:tcW w:type="dxa" w:w="19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Activity</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Daily 14:30</w:t>
            </w:r>
          </w:p>
        </w:tc>
        <w:tc>
          <w:tcPr>
            <w:tcW w:type="dxa" w:w="48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Aggregates the day’s events into a per-client posture roll-up that feeds monthly reports and the correlators</w:t>
            </w:r>
          </w:p>
        </w:tc>
      </w:tr>
    </w:tbl>
    <w:p>
      <w:r>
        <w:br w:type="page"/>
      </w:r>
    </w:p>
    <w:tbl>
      <w:tblPr>
        <w:tblW w:type="dxa" w:w="9360"/>
        <w:tblBorders>
          <w:top w:val="none"/>
          <w:left w:val="none"/>
          <w:bottom w:val="none"/>
          <w:right w:val="none"/>
          <w:insideH w:val="none"/>
          <w:insideV w:val="none"/>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100"/>
              <w:left w:type="dxa" w:w="200"/>
              <w:bottom w:type="dxa" w:w="100"/>
              <w:right w:type="dxa" w:w="0"/>
            </w:tcMar>
          </w:tcPr>
          <w:p>
            <w:pPr>
              <w:pStyle w:val="Heading1"/>
            </w:pPr>
            <w:r>
              <w:rPr>
                <w:rFonts w:ascii="Open Sans" w:cs="Open Sans" w:eastAsia="Open Sans" w:hAnsi="Open Sans"/>
                <w:b/>
                <w:bCs/>
                <w:color w:val="006DB6"/>
                <w:sz w:val="32"/>
                <w:szCs w:val="32"/>
              </w:rPr>
              <w:t xml:space="preserve">6. Database Architecture</w:t>
            </w:r>
          </w:p>
        </w:tc>
      </w:tr>
    </w:tbl>
    <w:p>
      <w:pPr>
        <w:pStyle w:val="Heading2"/>
        <w:spacing w:after="120" w:before="260"/>
      </w:pPr>
      <w:r>
        <w:rPr>
          <w:rFonts w:ascii="Open Sans" w:cs="Open Sans" w:eastAsia="Open Sans" w:hAnsi="Open Sans"/>
          <w:b/>
          <w:bCs/>
          <w:color w:val="1A1A2E"/>
          <w:sz w:val="26"/>
          <w:szCs w:val="26"/>
        </w:rPr>
        <w:t xml:space="preserve">MS SQL Server — TE-DC-JIAN (10.100.254.223)</w:t>
      </w:r>
    </w:p>
    <w:p>
      <w:pPr>
        <w:spacing w:after="120" w:before="0"/>
      </w:pPr>
      <w:r>
        <w:rPr>
          <w:rFonts w:ascii="Open Sans" w:cs="Open Sans" w:eastAsia="Open Sans" w:hAnsi="Open Sans"/>
          <w:color w:val="59595B"/>
          <w:sz w:val="22"/>
          <w:szCs w:val="22"/>
        </w:rPr>
        <w:t xml:space="preserve">The agent harness and the n8n platform use MS SQL Server for persistent structured storage. Python access is via pymssql; n8n connects through its SQL credential. Connection details live only in the credential vault, never in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Database</w:t>
            </w:r>
          </w:p>
        </w:tc>
        <w:tc>
          <w:tcPr>
            <w:tcW w:type="dxa" w:w="666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Purpose</w:t>
            </w:r>
          </w:p>
        </w:tc>
      </w:tr>
      <w:tr>
        <w:tc>
          <w:tcPr>
            <w:tcW w:type="dxa" w:w="2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jian_platform</w:t>
            </w:r>
          </w:p>
        </w:tc>
        <w:tc>
          <w:tcPr>
            <w:tcW w:type="dxa" w:w="66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Per-agent execution metadata, CP ticket idempotency shadow, shift-reassignment audit, agent run rows</w:t>
            </w:r>
          </w:p>
        </w:tc>
      </w:tr>
      <w:tr>
        <w:tc>
          <w:tcPr>
            <w:tcW w:type="dxa" w:w="2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jian_agent_state</w:t>
            </w:r>
          </w:p>
        </w:tc>
        <w:tc>
          <w:tcPr>
            <w:tcW w:type="dxa" w:w="66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Per-platform threshold configs, byte-cursor positions for incremental pulls, known-caller registry for voice</w:t>
            </w:r>
          </w:p>
        </w:tc>
      </w:tr>
      <w:tr>
        <w:tc>
          <w:tcPr>
            <w:tcW w:type="dxa" w:w="2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jian_vault</w:t>
            </w:r>
          </w:p>
        </w:tc>
        <w:tc>
          <w:tcPr>
            <w:tcW w:type="dxa" w:w="66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SQL full-text search index over the per-client brain corpus, used for retrieval by the voice agent and the Teams bot</w:t>
            </w:r>
          </w:p>
        </w:tc>
      </w:tr>
      <w:tr>
        <w:tc>
          <w:tcPr>
            <w:tcW w:type="dxa" w:w="2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jian_telemetry</w:t>
            </w:r>
          </w:p>
        </w:tc>
        <w:tc>
          <w:tcPr>
            <w:tcW w:type="dxa" w:w="66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LLM spend roll-ups mirrored from ClickHouse, per-client event counts, MITRE-tag frequency tables</w:t>
            </w:r>
          </w:p>
        </w:tc>
      </w:tr>
    </w:tbl>
    <w:p>
      <w:pPr>
        <w:spacing w:after="120" w:before="120"/>
      </w:pPr>
      <w:r>
        <w:rPr>
          <w:rFonts w:ascii="Open Sans" w:cs="Open Sans" w:eastAsia="Open Sans" w:hAnsi="Open Sans"/>
          <w:color w:val="59595B"/>
          <w:sz w:val="22"/>
          <w:szCs w:val="22"/>
        </w:rPr>
        <w:t xml:space="preserve">The Client Portal uses a separate SQL backend reached only through the CP API’s HTTP endpoint; Jian never connects to the CP database directly.</w:t>
      </w:r>
    </w:p>
    <w:p>
      <w:pPr>
        <w:pStyle w:val="Heading2"/>
        <w:spacing w:after="120" w:before="260"/>
      </w:pPr>
      <w:r>
        <w:rPr>
          <w:rFonts w:ascii="Open Sans" w:cs="Open Sans" w:eastAsia="Open Sans" w:hAnsi="Open Sans"/>
          <w:b/>
          <w:bCs/>
          <w:color w:val="1A1A2E"/>
          <w:sz w:val="26"/>
          <w:szCs w:val="26"/>
        </w:rPr>
        <w:t xml:space="preserve">ClickHouse + Grafana — TE-DC-LITELLM (10.100.254.102)</w:t>
      </w:r>
    </w:p>
    <w:p>
      <w:pPr>
        <w:spacing w:after="120" w:before="0"/>
      </w:pPr>
      <w:r>
        <w:rPr>
          <w:rFonts w:ascii="Open Sans" w:cs="Open Sans" w:eastAsia="Open Sans" w:hAnsi="Open Sans"/>
          <w:color w:val="59595B"/>
          <w:sz w:val="22"/>
          <w:szCs w:val="22"/>
        </w:rPr>
        <w:t xml:space="preserve">ClickHouse is the time-series store inside the LiteLLM five-container Docker stack. Every LLM call writes a span row, and Grafana visualizes spend rate, latency, error rate, and dollars per event per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Container</w:t>
            </w:r>
          </w:p>
        </w:tc>
        <w:tc>
          <w:tcPr>
            <w:tcW w:type="dxa" w:w="666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Role</w:t>
            </w:r>
          </w:p>
        </w:tc>
      </w:tr>
      <w:tr>
        <w:tc>
          <w:tcPr>
            <w:tcW w:type="dxa" w:w="2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LiteLLM proxy</w:t>
            </w:r>
          </w:p>
        </w:tc>
        <w:tc>
          <w:tcPr>
            <w:tcW w:type="dxa" w:w="66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Routes all agent LLM calls; enforces per-platform virtual keys for spend isolation</w:t>
            </w:r>
          </w:p>
        </w:tc>
      </w:tr>
      <w:tr>
        <w:tc>
          <w:tcPr>
            <w:tcW w:type="dxa" w:w="2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ClickHouse</w:t>
            </w:r>
          </w:p>
        </w:tc>
        <w:tc>
          <w:tcPr>
            <w:tcW w:type="dxa" w:w="66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Per-call span store: model, tier, tokens in/out, cost, latency, platform, client</w:t>
            </w:r>
          </w:p>
        </w:tc>
      </w:tr>
      <w:tr>
        <w:tc>
          <w:tcPr>
            <w:tcW w:type="dxa" w:w="2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Grafana</w:t>
            </w:r>
          </w:p>
        </w:tc>
        <w:tc>
          <w:tcPr>
            <w:tcW w:type="dxa" w:w="66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Dashboards on localhost:3001: spend rate, latency p50/p99, error rate, $/event</w:t>
            </w:r>
          </w:p>
        </w:tc>
      </w:tr>
      <w:tr>
        <w:tc>
          <w:tcPr>
            <w:tcW w:type="dxa" w:w="2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Redis</w:t>
            </w:r>
          </w:p>
        </w:tc>
        <w:tc>
          <w:tcPr>
            <w:tcW w:type="dxa" w:w="66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LiteLLM prompt-hash cache layer</w:t>
            </w:r>
          </w:p>
        </w:tc>
      </w:tr>
      <w:tr>
        <w:tc>
          <w:tcPr>
            <w:tcW w:type="dxa" w:w="2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Prometheus</w:t>
            </w:r>
          </w:p>
        </w:tc>
        <w:tc>
          <w:tcPr>
            <w:tcW w:type="dxa" w:w="66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Metrics scrape</w:t>
            </w:r>
          </w:p>
        </w:tc>
      </w:tr>
    </w:tbl>
    <w:p>
      <w:pPr>
        <w:pStyle w:val="Heading2"/>
        <w:spacing w:after="120" w:before="260"/>
      </w:pPr>
      <w:r>
        <w:rPr>
          <w:rFonts w:ascii="Open Sans" w:cs="Open Sans" w:eastAsia="Open Sans" w:hAnsi="Open Sans"/>
          <w:b/>
          <w:bCs/>
          <w:color w:val="1A1A2E"/>
          <w:sz w:val="26"/>
          <w:szCs w:val="26"/>
        </w:rPr>
        <w:t xml:space="preserve">On-disk state files (TE-DC-JIAN)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File</w:t>
            </w:r>
          </w:p>
        </w:tc>
        <w:tc>
          <w:tcPr>
            <w:tcW w:type="dxa" w:w="596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Content</w:t>
            </w:r>
          </w:p>
        </w:tc>
      </w:tr>
      <w:tr>
        <w:tc>
          <w:tcPr>
            <w:tcW w:type="dxa" w:w="3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state/cp_tickets.json</w:t>
            </w:r>
          </w:p>
        </w:tc>
        <w:tc>
          <w:tcPr>
            <w:tcW w:type="dxa" w:w="5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Primary CP ticket idempotency store (committed; the source of truth for dedup)</w:t>
            </w:r>
          </w:p>
        </w:tc>
      </w:tr>
      <w:tr>
        <w:tc>
          <w:tcPr>
            <w:tcW w:type="dxa" w:w="3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state/agent_runs.jsonl</w:t>
            </w:r>
          </w:p>
        </w:tc>
        <w:tc>
          <w:tcPr>
            <w:tcW w:type="dxa" w:w="5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Append-only per-decision audit log</w:t>
            </w:r>
          </w:p>
        </w:tc>
      </w:tr>
      <w:tr>
        <w:tc>
          <w:tcPr>
            <w:tcW w:type="dxa" w:w="3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state/jian_runs.jsonl</w:t>
            </w:r>
          </w:p>
        </w:tc>
        <w:tc>
          <w:tcPr>
            <w:tcW w:type="dxa" w:w="5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Per-webhook-invocation audit log</w:t>
            </w:r>
          </w:p>
        </w:tc>
      </w:tr>
      <w:tr>
        <w:tc>
          <w:tcPr>
            <w:tcW w:type="dxa" w:w="3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state/llm_spend.jsonl</w:t>
            </w:r>
          </w:p>
        </w:tc>
        <w:tc>
          <w:tcPr>
            <w:tcW w:type="dxa" w:w="5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Cost roll-ups mirrored from ClickHouse</w:t>
            </w:r>
          </w:p>
        </w:tc>
      </w:tr>
      <w:tr>
        <w:tc>
          <w:tcPr>
            <w:tcW w:type="dxa" w:w="3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state/shift_reassignment_log.jsonl</w:t>
            </w:r>
          </w:p>
        </w:tc>
        <w:tc>
          <w:tcPr>
            <w:tcW w:type="dxa" w:w="5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Shift-routing decisions</w:t>
            </w:r>
          </w:p>
        </w:tc>
      </w:tr>
      <w:tr>
        <w:tc>
          <w:tcPr>
            <w:tcW w:type="dxa" w:w="3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state/teams_bot/conversations.db</w:t>
            </w:r>
          </w:p>
        </w:tc>
        <w:tc>
          <w:tcPr>
            <w:tcW w:type="dxa" w:w="5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ConversationReference cache used for proactive bot posts</w:t>
            </w:r>
          </w:p>
        </w:tc>
      </w:tr>
    </w:tbl>
    <w:p>
      <w:r>
        <w:br w:type="page"/>
      </w:r>
    </w:p>
    <w:tbl>
      <w:tblPr>
        <w:tblW w:type="dxa" w:w="9360"/>
        <w:tblBorders>
          <w:top w:val="none"/>
          <w:left w:val="none"/>
          <w:bottom w:val="none"/>
          <w:right w:val="none"/>
          <w:insideH w:val="none"/>
          <w:insideV w:val="none"/>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100"/>
              <w:left w:type="dxa" w:w="200"/>
              <w:bottom w:type="dxa" w:w="100"/>
              <w:right w:type="dxa" w:w="0"/>
            </w:tcMar>
          </w:tcPr>
          <w:p>
            <w:pPr>
              <w:pStyle w:val="Heading1"/>
            </w:pPr>
            <w:r>
              <w:rPr>
                <w:rFonts w:ascii="Open Sans" w:cs="Open Sans" w:eastAsia="Open Sans" w:hAnsi="Open Sans"/>
                <w:b/>
                <w:bCs/>
                <w:color w:val="006DB6"/>
                <w:sz w:val="32"/>
                <w:szCs w:val="32"/>
              </w:rPr>
              <w:t xml:space="preserve">7. Memory Architecture</w:t>
            </w:r>
          </w:p>
        </w:tc>
      </w:tr>
    </w:tbl>
    <w:p>
      <w:pPr>
        <w:spacing w:after="180" w:before="160"/>
      </w:pPr>
      <w:r>
        <w:rPr>
          <w:rFonts w:ascii="Open Sans" w:cs="Open Sans" w:eastAsia="Open Sans" w:hAnsi="Open Sans"/>
          <w:color w:val="59595B"/>
          <w:sz w:val="22"/>
          <w:szCs w:val="22"/>
        </w:rPr>
        <w:t xml:space="preserve">Jian’s knowledge is organized in four distinct layers plus a per-client brain. Each layer has a specific scope and lifetime, and content is never duplicated across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FFFFFF" w:sz="4"/>
              <w:left w:val="none"/>
              <w:bottom w:val="single" w:color="FFFFFF" w:sz="4"/>
              <w:right w:val="none"/>
            </w:tcBorders>
            <w:shd w:fill="006DB6" w:val="clear"/>
            <w:tcMar>
              <w:top w:type="dxa" w:w="120"/>
              <w:left w:type="dxa" w:w="160"/>
              <w:bottom w:type="dxa" w:w="120"/>
              <w:right w:type="dxa" w:w="120"/>
            </w:tcMar>
            <w:vAlign w:val="center"/>
          </w:tcPr>
          <w:p>
            <w:r>
              <w:rPr>
                <w:rFonts w:ascii="Open Sans" w:cs="Open Sans" w:eastAsia="Open Sans" w:hAnsi="Open Sans"/>
                <w:b/>
                <w:bCs/>
                <w:color w:val="FFFFFF"/>
                <w:sz w:val="19"/>
                <w:szCs w:val="19"/>
              </w:rPr>
              <w:t xml:space="preserve">L1  Vault (Obsidian)</w:t>
            </w:r>
          </w:p>
        </w:tc>
        <w:tc>
          <w:tcPr>
            <w:tcW w:type="dxa" w:w="6760"/>
            <w:tcBorders>
              <w:top w:val="single" w:color="FFFFFF" w:sz="4"/>
              <w:left w:val="none"/>
              <w:bottom w:val="single" w:color="FFFFFF" w:sz="4"/>
              <w:right w:val="none"/>
            </w:tcBorders>
            <w:shd w:fill="F8F9FA" w:val="clear"/>
            <w:tcMar>
              <w:top w:type="dxa" w:w="120"/>
              <w:left w:type="dxa" w:w="200"/>
              <w:bottom w:type="dxa" w:w="120"/>
              <w:right w:type="dxa" w:w="160"/>
            </w:tcMar>
            <w:vAlign w:val="center"/>
          </w:tcPr>
          <w:p>
            <w:r>
              <w:rPr>
                <w:rFonts w:ascii="Open Sans" w:cs="Open Sans" w:eastAsia="Open Sans" w:hAnsi="Open Sans"/>
                <w:color w:val="59595B"/>
                <w:sz w:val="18"/>
                <w:szCs w:val="18"/>
              </w:rPr>
              <w:t xml:space="preserve">Durable human knowledge: design decisions, domain facts, rationale, contradiction log</w:t>
            </w:r>
          </w:p>
        </w:tc>
      </w:tr>
      <w:tr>
        <w:tc>
          <w:tcPr>
            <w:tcW w:type="dxa" w:w="2600"/>
            <w:tcBorders>
              <w:top w:val="single" w:color="FFFFFF" w:sz="4"/>
              <w:left w:val="none"/>
              <w:bottom w:val="single" w:color="FFFFFF" w:sz="4"/>
              <w:right w:val="none"/>
            </w:tcBorders>
            <w:shd w:fill="1EAAC8" w:val="clear"/>
            <w:tcMar>
              <w:top w:type="dxa" w:w="120"/>
              <w:left w:type="dxa" w:w="160"/>
              <w:bottom w:type="dxa" w:w="120"/>
              <w:right w:type="dxa" w:w="120"/>
            </w:tcMar>
            <w:vAlign w:val="center"/>
          </w:tcPr>
          <w:p>
            <w:r>
              <w:rPr>
                <w:rFonts w:ascii="Open Sans" w:cs="Open Sans" w:eastAsia="Open Sans" w:hAnsi="Open Sans"/>
                <w:b/>
                <w:bCs/>
                <w:color w:val="1A1A2E"/>
                <w:sz w:val="19"/>
                <w:szCs w:val="19"/>
              </w:rPr>
              <w:t xml:space="preserve">L2  Auto-memory</w:t>
            </w:r>
          </w:p>
        </w:tc>
        <w:tc>
          <w:tcPr>
            <w:tcW w:type="dxa" w:w="6760"/>
            <w:tcBorders>
              <w:top w:val="single" w:color="FFFFFF" w:sz="4"/>
              <w:left w:val="none"/>
              <w:bottom w:val="single" w:color="FFFFFF" w:sz="4"/>
              <w:right w:val="none"/>
            </w:tcBorders>
            <w:shd w:fill="F8F9FA" w:val="clear"/>
            <w:tcMar>
              <w:top w:type="dxa" w:w="120"/>
              <w:left w:type="dxa" w:w="200"/>
              <w:bottom w:type="dxa" w:w="120"/>
              <w:right w:type="dxa" w:w="160"/>
            </w:tcMar>
            <w:vAlign w:val="center"/>
          </w:tcPr>
          <w:p>
            <w:r>
              <w:rPr>
                <w:rFonts w:ascii="Open Sans" w:cs="Open Sans" w:eastAsia="Open Sans" w:hAnsi="Open Sans"/>
                <w:color w:val="59595B"/>
                <w:sz w:val="18"/>
                <w:szCs w:val="18"/>
              </w:rPr>
              <w:t xml:space="preserve">Judgment-shaping notes: user role, feedback rules, project state — auto-loaded each session</w:t>
            </w:r>
          </w:p>
        </w:tc>
      </w:tr>
      <w:tr>
        <w:tc>
          <w:tcPr>
            <w:tcW w:type="dxa" w:w="2600"/>
            <w:tcBorders>
              <w:top w:val="single" w:color="FFFFFF" w:sz="4"/>
              <w:left w:val="none"/>
              <w:bottom w:val="single" w:color="FFFFFF" w:sz="4"/>
              <w:right w:val="none"/>
            </w:tcBorders>
            <w:shd w:fill="F67D4B" w:val="clear"/>
            <w:tcMar>
              <w:top w:type="dxa" w:w="120"/>
              <w:left w:type="dxa" w:w="160"/>
              <w:bottom w:type="dxa" w:w="120"/>
              <w:right w:type="dxa" w:w="120"/>
            </w:tcMar>
            <w:vAlign w:val="center"/>
          </w:tcPr>
          <w:p>
            <w:r>
              <w:rPr>
                <w:rFonts w:ascii="Open Sans" w:cs="Open Sans" w:eastAsia="Open Sans" w:hAnsi="Open Sans"/>
                <w:b/>
                <w:bCs/>
                <w:color w:val="FFFFFF"/>
                <w:sz w:val="19"/>
                <w:szCs w:val="19"/>
              </w:rPr>
              <w:t xml:space="preserve">L3  GitNexus</w:t>
            </w:r>
          </w:p>
        </w:tc>
        <w:tc>
          <w:tcPr>
            <w:tcW w:type="dxa" w:w="6760"/>
            <w:tcBorders>
              <w:top w:val="single" w:color="FFFFFF" w:sz="4"/>
              <w:left w:val="none"/>
              <w:bottom w:val="single" w:color="FFFFFF" w:sz="4"/>
              <w:right w:val="none"/>
            </w:tcBorders>
            <w:shd w:fill="F8F9FA" w:val="clear"/>
            <w:tcMar>
              <w:top w:type="dxa" w:w="120"/>
              <w:left w:type="dxa" w:w="200"/>
              <w:bottom w:type="dxa" w:w="120"/>
              <w:right w:type="dxa" w:w="160"/>
            </w:tcMar>
            <w:vAlign w:val="center"/>
          </w:tcPr>
          <w:p>
            <w:r>
              <w:rPr>
                <w:rFonts w:ascii="Open Sans" w:cs="Open Sans" w:eastAsia="Open Sans" w:hAnsi="Open Sans"/>
                <w:color w:val="59595B"/>
                <w:sz w:val="18"/>
                <w:szCs w:val="18"/>
              </w:rPr>
              <w:t xml:space="preserve">Code structure: 20K+ symbols, 27K+ relationships, 300 execution flows for impact analysis</w:t>
            </w:r>
          </w:p>
        </w:tc>
      </w:tr>
      <w:tr>
        <w:tc>
          <w:tcPr>
            <w:tcW w:type="dxa" w:w="2600"/>
            <w:tcBorders>
              <w:top w:val="single" w:color="FFFFFF" w:sz="4"/>
              <w:left w:val="none"/>
              <w:bottom w:val="single" w:color="FFFFFF" w:sz="4"/>
              <w:right w:val="none"/>
            </w:tcBorders>
            <w:shd w:fill="59595B" w:val="clear"/>
            <w:tcMar>
              <w:top w:type="dxa" w:w="120"/>
              <w:left w:type="dxa" w:w="160"/>
              <w:bottom w:type="dxa" w:w="120"/>
              <w:right w:type="dxa" w:w="120"/>
            </w:tcMar>
            <w:vAlign w:val="center"/>
          </w:tcPr>
          <w:p>
            <w:r>
              <w:rPr>
                <w:rFonts w:ascii="Open Sans" w:cs="Open Sans" w:eastAsia="Open Sans" w:hAnsi="Open Sans"/>
                <w:b/>
                <w:bCs/>
                <w:color w:val="FFFFFF"/>
                <w:sz w:val="19"/>
                <w:szCs w:val="19"/>
              </w:rPr>
              <w:t xml:space="preserve">L4  Auto Dream</w:t>
            </w:r>
          </w:p>
        </w:tc>
        <w:tc>
          <w:tcPr>
            <w:tcW w:type="dxa" w:w="6760"/>
            <w:tcBorders>
              <w:top w:val="single" w:color="FFFFFF" w:sz="4"/>
              <w:left w:val="none"/>
              <w:bottom w:val="single" w:color="FFFFFF" w:sz="4"/>
              <w:right w:val="none"/>
            </w:tcBorders>
            <w:shd w:fill="F8F9FA" w:val="clear"/>
            <w:tcMar>
              <w:top w:type="dxa" w:w="120"/>
              <w:left w:type="dxa" w:w="200"/>
              <w:bottom w:type="dxa" w:w="120"/>
              <w:right w:type="dxa" w:w="160"/>
            </w:tcMar>
            <w:vAlign w:val="center"/>
          </w:tcPr>
          <w:p>
            <w:r>
              <w:rPr>
                <w:rFonts w:ascii="Open Sans" w:cs="Open Sans" w:eastAsia="Open Sans" w:hAnsi="Open Sans"/>
                <w:color w:val="59595B"/>
                <w:sz w:val="18"/>
                <w:szCs w:val="18"/>
              </w:rPr>
              <w:t xml:space="preserve">Deferred — flag-gated consolidation of L2 into L1; needs 30 days of retrieval data first</w:t>
            </w:r>
          </w:p>
        </w:tc>
      </w:tr>
    </w:tbl>
    <w:p>
      <w:pPr>
        <w:spacing w:before="220"/>
      </w:pPr>
    </w:p>
    <w:p>
      <w:pPr>
        <w:pStyle w:val="Heading2"/>
        <w:spacing w:after="120" w:before="260"/>
      </w:pPr>
      <w:r>
        <w:rPr>
          <w:rFonts w:ascii="Open Sans" w:cs="Open Sans" w:eastAsia="Open Sans" w:hAnsi="Open Sans"/>
          <w:b/>
          <w:bCs/>
          <w:color w:val="1A1A2E"/>
          <w:sz w:val="26"/>
          <w:szCs w:val="26"/>
        </w:rPr>
        <w:t xml:space="preserve">Per-client knowledge: the Jian brain</w:t>
      </w:r>
    </w:p>
    <w:p>
      <w:pPr>
        <w:spacing w:after="120" w:before="0"/>
      </w:pPr>
      <w:r>
        <w:rPr>
          <w:rFonts w:ascii="Open Sans" w:cs="Open Sans" w:eastAsia="Open Sans" w:hAnsi="Open Sans"/>
          <w:color w:val="59595B"/>
          <w:sz w:val="22"/>
          <w:szCs w:val="22"/>
        </w:rPr>
        <w:t xml:space="preserve">Each client has a brain rebuilt nightly by brain_pull.py. It carries contacts (from the Client Portal and M365), open tickets, six months of ticket history, and text extracted from Teams files. The brain is indexed into the jian_vault full-text store so the voice agent and the Teams bot can identify callers and surface open-ticket context at query time without re-reading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Store</w:t>
            </w:r>
          </w:p>
        </w:tc>
        <w:tc>
          <w:tcPr>
            <w:tcW w:type="dxa" w:w="36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Content</w:t>
            </w:r>
          </w:p>
        </w:tc>
        <w:tc>
          <w:tcPr>
            <w:tcW w:type="dxa" w:w="276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Builder</w:t>
            </w:r>
          </w:p>
        </w:tc>
      </w:tr>
      <w:tr>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clients/&lt;code&gt;/brain/brain.json</w:t>
            </w:r>
          </w:p>
        </w:tc>
        <w:tc>
          <w:tcPr>
            <w:tcW w:type="dxa" w:w="3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Contacts, open tickets, 6-month history, Teams file extracts</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brain_pull.py (daily)</w:t>
            </w:r>
          </w:p>
        </w:tc>
      </w:tr>
      <w:tr>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known_callers.json</w:t>
            </w:r>
          </w:p>
        </w:tc>
        <w:tc>
          <w:tcPr>
            <w:tcW w:type="dxa" w:w="3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Phone number to caller name and client code</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Populated on first call; persisted</w:t>
            </w:r>
          </w:p>
        </w:tc>
      </w:tr>
    </w:tbl>
    <w:p>
      <w:pPr>
        <w:pStyle w:val="Heading2"/>
        <w:spacing w:after="120" w:before="260"/>
      </w:pPr>
      <w:r>
        <w:rPr>
          <w:rFonts w:ascii="Open Sans" w:cs="Open Sans" w:eastAsia="Open Sans" w:hAnsi="Open Sans"/>
          <w:b/>
          <w:bCs/>
          <w:color w:val="1A1A2E"/>
          <w:sz w:val="26"/>
          <w:szCs w:val="26"/>
        </w:rPr>
        <w:t xml:space="preserve">Vault discipline</w:t>
      </w:r>
    </w:p>
    <w:p>
      <w:pPr>
        <w:spacing w:after="160" w:before="0"/>
      </w:pPr>
      <w:r>
        <w:rPr>
          <w:rFonts w:ascii="Open Sans" w:cs="Open Sans" w:eastAsia="Open Sans" w:hAnsi="Open Sans"/>
          <w:color w:val="59595B"/>
          <w:sz w:val="22"/>
          <w:szCs w:val="22"/>
        </w:rPr>
        <w:t xml:space="preserve">Every vault topic carries standard frontmatter and six required sections. Contradictions are appended to the open-questions section and logged to a changelog — never silently overwritten. A weekly review keeps the vault healthy. Active session hooks preload relevant topic pages, flag substantial sessions for consolidation, and mirror transcripts to OneDrive.</w:t>
      </w:r>
    </w:p>
    <w:p>
      <w:r>
        <w:br w:type="page"/>
      </w:r>
    </w:p>
    <w:tbl>
      <w:tblPr>
        <w:tblW w:type="dxa" w:w="9360"/>
        <w:tblBorders>
          <w:top w:val="none"/>
          <w:left w:val="none"/>
          <w:bottom w:val="none"/>
          <w:right w:val="none"/>
          <w:insideH w:val="none"/>
          <w:insideV w:val="none"/>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100"/>
              <w:left w:type="dxa" w:w="200"/>
              <w:bottom w:type="dxa" w:w="100"/>
              <w:right w:type="dxa" w:w="0"/>
            </w:tcMar>
          </w:tcPr>
          <w:p>
            <w:pPr>
              <w:pStyle w:val="Heading1"/>
            </w:pPr>
            <w:r>
              <w:rPr>
                <w:rFonts w:ascii="Open Sans" w:cs="Open Sans" w:eastAsia="Open Sans" w:hAnsi="Open Sans"/>
                <w:b/>
                <w:bCs/>
                <w:color w:val="006DB6"/>
                <w:sz w:val="32"/>
                <w:szCs w:val="32"/>
              </w:rPr>
              <w:t xml:space="preserve">8. Ingestion — Client Tickets &amp; Teams Files</w:t>
            </w:r>
          </w:p>
        </w:tc>
      </w:tr>
    </w:tbl>
    <w:p>
      <w:pPr>
        <w:pStyle w:val="Heading2"/>
        <w:spacing w:after="120" w:before="260"/>
      </w:pPr>
      <w:r>
        <w:rPr>
          <w:rFonts w:ascii="Open Sans" w:cs="Open Sans" w:eastAsia="Open Sans" w:hAnsi="Open Sans"/>
          <w:b/>
          <w:bCs/>
          <w:color w:val="1A1A2E"/>
          <w:sz w:val="26"/>
          <w:szCs w:val="26"/>
        </w:rPr>
        <w:t xml:space="preserve">Client Portal ticket ingestion</w:t>
      </w:r>
    </w:p>
    <w:p>
      <w:pPr>
        <w:spacing w:after="140" w:before="0"/>
      </w:pPr>
      <w:r>
        <w:rPr>
          <w:rFonts w:ascii="Open Sans" w:cs="Open Sans" w:eastAsia="Open Sans" w:hAnsi="Open Sans"/>
          <w:color w:val="59595B"/>
          <w:sz w:val="22"/>
          <w:szCs w:val="22"/>
        </w:rPr>
        <w:t xml:space="preserve">The Client Portal exposes no webhook, so Jian uses a two-path model: a poll path keeps Teams channels in sync, and a write path opens tickets idempotently.</w:t>
      </w:r>
    </w:p>
    <w:p>
      <w:pPr>
        <w:spacing w:after="100" w:before="0"/>
      </w:pPr>
      <w:r>
        <w:rPr>
          <w:rFonts w:ascii="Open Sans" w:cs="Open Sans" w:eastAsia="Open Sans" w:hAnsi="Open Sans"/>
          <w:b/>
          <w:bCs/>
          <w:color w:val="1A1A2E"/>
          <w:sz w:val="21"/>
          <w:szCs w:val="21"/>
        </w:rPr>
        <w:t xml:space="preserve">Poll path (CP Poller, every 2 minutes)</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006DB6"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006DB6"/>
                <w:sz w:val="20"/>
                <w:szCs w:val="20"/>
              </w:rPr>
              <w:t xml:space="preserve">CP Poller queries open tickets</w:t>
            </w:r>
          </w:p>
          <w:p>
            <w:r>
              <w:rPr>
                <w:rFonts w:ascii="Open Sans" w:cs="Open Sans" w:eastAsia="Open Sans" w:hAnsi="Open Sans"/>
                <w:color w:val="59595B"/>
                <w:sz w:val="18"/>
                <w:szCs w:val="18"/>
              </w:rPr>
              <w:t xml:space="preserve">stp_xml_Tkt_API_List_GetByEmpAndStatus_DT</w:t>
            </w:r>
          </w:p>
        </w:tc>
      </w:tr>
    </w:tbl>
    <w:p>
      <w:pPr>
        <w:spacing w:after="40" w:before="40"/>
        <w:jc w:val="center"/>
      </w:pPr>
      <w:r>
        <w:rPr>
          <w:rFonts w:ascii="Open Sans" w:cs="Open Sans" w:eastAsia="Open Sans" w:hAnsi="Open Sans"/>
          <w:b/>
          <w:bCs/>
          <w:color w:val="F67D4B"/>
          <w:sz w:val="24"/>
          <w:szCs w:val="24"/>
        </w:rPr>
        <w:t xml:space="preserve">↓</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006DB6"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006DB6"/>
                <w:sz w:val="20"/>
                <w:szCs w:val="20"/>
              </w:rPr>
              <w:t xml:space="preserve">Diff against state/cp_tickets.json</w:t>
            </w:r>
          </w:p>
          <w:p>
            <w:r>
              <w:rPr>
                <w:rFonts w:ascii="Open Sans" w:cs="Open Sans" w:eastAsia="Open Sans" w:hAnsi="Open Sans"/>
                <w:color w:val="59595B"/>
                <w:sz w:val="18"/>
                <w:szCs w:val="18"/>
              </w:rPr>
              <w:t xml:space="preserve">detect new tickets, status changes, time entries</w:t>
            </w:r>
          </w:p>
        </w:tc>
      </w:tr>
    </w:tbl>
    <w:p>
      <w:pPr>
        <w:spacing w:after="40" w:before="40"/>
        <w:jc w:val="center"/>
      </w:pPr>
      <w:r>
        <w:rPr>
          <w:rFonts w:ascii="Open Sans" w:cs="Open Sans" w:eastAsia="Open Sans" w:hAnsi="Open Sans"/>
          <w:b/>
          <w:bCs/>
          <w:color w:val="F67D4B"/>
          <w:sz w:val="24"/>
          <w:szCs w:val="24"/>
        </w:rPr>
        <w:t xml:space="preserve">↓</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1EAAC8"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1EAAC8"/>
                <w:sz w:val="20"/>
                <w:szCs w:val="20"/>
              </w:rPr>
              <w:t xml:space="preserve">Synthetic events to the Jian Teams bot</w:t>
            </w:r>
          </w:p>
          <w:p>
            <w:r>
              <w:rPr>
                <w:rFonts w:ascii="Open Sans" w:cs="Open Sans" w:eastAsia="Open Sans" w:hAnsi="Open Sans"/>
                <w:color w:val="59595B"/>
                <w:sz w:val="18"/>
                <w:szCs w:val="18"/>
              </w:rPr>
              <w:t xml:space="preserve">update / assignment / close</w:t>
            </w:r>
          </w:p>
        </w:tc>
      </w:tr>
    </w:tbl>
    <w:p>
      <w:pPr>
        <w:spacing w:after="40" w:before="40"/>
        <w:jc w:val="center"/>
      </w:pPr>
      <w:r>
        <w:rPr>
          <w:rFonts w:ascii="Open Sans" w:cs="Open Sans" w:eastAsia="Open Sans" w:hAnsi="Open Sans"/>
          <w:b/>
          <w:bCs/>
          <w:color w:val="F67D4B"/>
          <w:sz w:val="24"/>
          <w:szCs w:val="24"/>
        </w:rPr>
        <w:t xml:space="preserve">↓</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F67D4B"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F67D4B"/>
                <w:sz w:val="20"/>
                <w:szCs w:val="20"/>
              </w:rPr>
              <w:t xml:space="preserve">Bot posts to the channel-per-ticket</w:t>
            </w:r>
          </w:p>
          <w:p>
            <w:r>
              <w:rPr>
                <w:rFonts w:ascii="Open Sans" w:cs="Open Sans" w:eastAsia="Open Sans" w:hAnsi="Open Sans"/>
                <w:color w:val="59595B"/>
                <w:sz w:val="18"/>
                <w:szCs w:val="18"/>
              </w:rPr>
              <w:t xml:space="preserve">requestor and tech stay in sync</w:t>
            </w:r>
          </w:p>
        </w:tc>
      </w:tr>
    </w:tbl>
    <w:p>
      <w:pPr>
        <w:spacing w:before="200"/>
      </w:pPr>
    </w:p>
    <w:p>
      <w:pPr>
        <w:spacing w:after="100" w:before="0"/>
      </w:pPr>
      <w:r>
        <w:rPr>
          <w:rFonts w:ascii="Open Sans" w:cs="Open Sans" w:eastAsia="Open Sans" w:hAnsi="Open Sans"/>
          <w:b/>
          <w:bCs/>
          <w:color w:val="1A1A2E"/>
          <w:sz w:val="21"/>
          <w:szCs w:val="21"/>
        </w:rPr>
        <w:t xml:space="preserve">Write path (diagnose agent to cp_tickets.py)</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006DB6"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006DB6"/>
                <w:sz w:val="20"/>
                <w:szCs w:val="20"/>
              </w:rPr>
              <w:t xml:space="preserve">Idempotency check</w:t>
            </w:r>
          </w:p>
          <w:p>
            <w:r>
              <w:rPr>
                <w:rFonts w:ascii="Open Sans" w:cs="Open Sans" w:eastAsia="Open Sans" w:hAnsi="Open Sans"/>
                <w:color w:val="59595B"/>
                <w:sz w:val="18"/>
                <w:szCs w:val="18"/>
              </w:rPr>
              <w:t xml:space="preserve">key = platform:client:date:type in state/cp_tickets.json</w:t>
            </w:r>
          </w:p>
        </w:tc>
      </w:tr>
    </w:tbl>
    <w:p>
      <w:pPr>
        <w:spacing w:after="40" w:before="40"/>
        <w:jc w:val="center"/>
      </w:pPr>
      <w:r>
        <w:rPr>
          <w:rFonts w:ascii="Open Sans" w:cs="Open Sans" w:eastAsia="Open Sans" w:hAnsi="Open Sans"/>
          <w:b/>
          <w:bCs/>
          <w:color w:val="F67D4B"/>
          <w:sz w:val="24"/>
          <w:szCs w:val="24"/>
        </w:rPr>
        <w:t xml:space="preserve">↓</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006DB6"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006DB6"/>
                <w:sz w:val="20"/>
                <w:szCs w:val="20"/>
              </w:rPr>
              <w:t xml:space="preserve">Create ticket if new</w:t>
            </w:r>
          </w:p>
          <w:p>
            <w:r>
              <w:rPr>
                <w:rFonts w:ascii="Open Sans" w:cs="Open Sans" w:eastAsia="Open Sans" w:hAnsi="Open Sans"/>
                <w:color w:val="59595B"/>
                <w:sz w:val="18"/>
                <w:szCs w:val="18"/>
              </w:rPr>
              <w:t xml:space="preserve">stp_xml_Tkt_API_CreateV3 returns the ticket id</w:t>
            </w:r>
          </w:p>
        </w:tc>
      </w:tr>
    </w:tbl>
    <w:p>
      <w:pPr>
        <w:spacing w:after="40" w:before="40"/>
        <w:jc w:val="center"/>
      </w:pPr>
      <w:r>
        <w:rPr>
          <w:rFonts w:ascii="Open Sans" w:cs="Open Sans" w:eastAsia="Open Sans" w:hAnsi="Open Sans"/>
          <w:b/>
          <w:bCs/>
          <w:color w:val="F67D4B"/>
          <w:sz w:val="24"/>
          <w:szCs w:val="24"/>
        </w:rPr>
        <w:t xml:space="preserve">↓</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1EAAC8"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1EAAC8"/>
                <w:sz w:val="20"/>
                <w:szCs w:val="20"/>
              </w:rPr>
              <w:t xml:space="preserve">Shadow row to jian_platform; log time entry</w:t>
            </w:r>
          </w:p>
          <w:p>
            <w:r>
              <w:rPr>
                <w:rFonts w:ascii="Open Sans" w:cs="Open Sans" w:eastAsia="Open Sans" w:hAnsi="Open Sans"/>
                <w:color w:val="59595B"/>
                <w:sz w:val="18"/>
                <w:szCs w:val="18"/>
              </w:rPr>
              <w:t xml:space="preserve">Jian-attributed, role-billed</w:t>
            </w:r>
          </w:p>
        </w:tc>
      </w:tr>
    </w:tbl>
    <w:p>
      <w:pPr>
        <w:spacing w:after="40" w:before="40"/>
        <w:jc w:val="center"/>
      </w:pPr>
      <w:r>
        <w:rPr>
          <w:rFonts w:ascii="Open Sans" w:cs="Open Sans" w:eastAsia="Open Sans" w:hAnsi="Open Sans"/>
          <w:b/>
          <w:bCs/>
          <w:color w:val="F67D4B"/>
          <w:sz w:val="24"/>
          <w:szCs w:val="24"/>
        </w:rPr>
        <w:t xml:space="preserve">↓</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F67D4B"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F67D4B"/>
                <w:sz w:val="20"/>
                <w:szCs w:val="20"/>
              </w:rPr>
              <w:t xml:space="preserve">shift_reassigner routes to the on-shift tech</w:t>
            </w:r>
          </w:p>
          <w:p>
            <w:r>
              <w:rPr>
                <w:rFonts w:ascii="Open Sans" w:cs="Open Sans" w:eastAsia="Open Sans" w:hAnsi="Open Sans"/>
                <w:color w:val="59595B"/>
                <w:sz w:val="18"/>
                <w:szCs w:val="18"/>
              </w:rPr>
              <w:t xml:space="preserve">next hourly cycle</w:t>
            </w:r>
          </w:p>
        </w:tc>
      </w:tr>
    </w:tbl>
    <w:p>
      <w:pPr>
        <w:spacing w:after="120" w:before="160"/>
      </w:pPr>
      <w:r>
        <w:rPr>
          <w:rFonts w:ascii="Open Sans" w:cs="Open Sans" w:eastAsia="Open Sans" w:hAnsi="Open Sans"/>
          <w:i/>
          <w:iCs/>
          <w:color w:val="59595B"/>
          <w:sz w:val="19"/>
          <w:szCs w:val="19"/>
        </w:rPr>
        <w:t xml:space="preserve">Update note: the update endpoint is a sparse write — use AssignToUsername (not a directory id) and Internal_Notes (not Notes), and always read the response back to confirm the field changed; a 200 response does not by itself mean the field was written.</w:t>
      </w:r>
    </w:p>
    <w:p>
      <w:r>
        <w:br w:type="page"/>
      </w:r>
    </w:p>
    <w:p>
      <w:pPr>
        <w:pStyle w:val="Heading2"/>
        <w:spacing w:after="120" w:before="260"/>
      </w:pPr>
      <w:r>
        <w:rPr>
          <w:rFonts w:ascii="Open Sans" w:cs="Open Sans" w:eastAsia="Open Sans" w:hAnsi="Open Sans"/>
          <w:b/>
          <w:bCs/>
          <w:color w:val="1A1A2E"/>
          <w:sz w:val="26"/>
          <w:szCs w:val="26"/>
        </w:rPr>
        <w:t xml:space="preserve">Microsoft Teams file ingestion</w:t>
      </w:r>
    </w:p>
    <w:p>
      <w:pPr>
        <w:spacing w:after="140" w:before="0"/>
      </w:pPr>
      <w:r>
        <w:rPr>
          <w:rFonts w:ascii="Open Sans" w:cs="Open Sans" w:eastAsia="Open Sans" w:hAnsi="Open Sans"/>
          <w:color w:val="59595B"/>
          <w:sz w:val="22"/>
          <w:szCs w:val="22"/>
        </w:rPr>
        <w:t xml:space="preserve">brain_pull.py runs nightly at 03:30 PT and builds the brain for every active client.</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006DB6"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006DB6"/>
                <w:sz w:val="20"/>
                <w:szCs w:val="20"/>
              </w:rPr>
              <w:t xml:space="preserve">Contacts</w:t>
            </w:r>
          </w:p>
          <w:p>
            <w:r>
              <w:rPr>
                <w:rFonts w:ascii="Open Sans" w:cs="Open Sans" w:eastAsia="Open Sans" w:hAnsi="Open Sans"/>
                <w:color w:val="59595B"/>
                <w:sz w:val="18"/>
                <w:szCs w:val="18"/>
              </w:rPr>
              <w:t xml:space="preserve">Client Portal active clients + M365 Graph /users for the client tenant</w:t>
            </w:r>
          </w:p>
        </w:tc>
      </w:tr>
    </w:tbl>
    <w:p>
      <w:pPr>
        <w:spacing w:after="40" w:before="40"/>
        <w:jc w:val="center"/>
      </w:pPr>
      <w:r>
        <w:rPr>
          <w:rFonts w:ascii="Open Sans" w:cs="Open Sans" w:eastAsia="Open Sans" w:hAnsi="Open Sans"/>
          <w:b/>
          <w:bCs/>
          <w:color w:val="F67D4B"/>
          <w:sz w:val="24"/>
          <w:szCs w:val="24"/>
        </w:rPr>
        <w:t xml:space="preserve">↓</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006DB6"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006DB6"/>
                <w:sz w:val="20"/>
                <w:szCs w:val="20"/>
              </w:rPr>
              <w:t xml:space="preserve">Ticket history</w:t>
            </w:r>
          </w:p>
          <w:p>
            <w:r>
              <w:rPr>
                <w:rFonts w:ascii="Open Sans" w:cs="Open Sans" w:eastAsia="Open Sans" w:hAnsi="Open Sans"/>
                <w:color w:val="59595B"/>
                <w:sz w:val="18"/>
                <w:szCs w:val="18"/>
              </w:rPr>
              <w:t xml:space="preserve">last 6 months from the Client Portal</w:t>
            </w:r>
          </w:p>
        </w:tc>
      </w:tr>
    </w:tbl>
    <w:p>
      <w:pPr>
        <w:spacing w:after="40" w:before="40"/>
        <w:jc w:val="center"/>
      </w:pPr>
      <w:r>
        <w:rPr>
          <w:rFonts w:ascii="Open Sans" w:cs="Open Sans" w:eastAsia="Open Sans" w:hAnsi="Open Sans"/>
          <w:b/>
          <w:bCs/>
          <w:color w:val="F67D4B"/>
          <w:sz w:val="24"/>
          <w:szCs w:val="24"/>
        </w:rPr>
        <w:t xml:space="preserve">↓</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1EAAC8"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1EAAC8"/>
                <w:sz w:val="20"/>
                <w:szCs w:val="20"/>
              </w:rPr>
              <w:t xml:space="preserve">Teams files</w:t>
            </w:r>
          </w:p>
          <w:p>
            <w:r>
              <w:rPr>
                <w:rFonts w:ascii="Open Sans" w:cs="Open Sans" w:eastAsia="Open Sans" w:hAnsi="Open Sans"/>
                <w:color w:val="59595B"/>
                <w:sz w:val="18"/>
                <w:szCs w:val="18"/>
              </w:rPr>
              <w:t xml:space="preserve">Graph /sites/{site}/drive — download and text-extract PDF, DOCX, TXT</w:t>
            </w:r>
          </w:p>
        </w:tc>
      </w:tr>
    </w:tbl>
    <w:p>
      <w:pPr>
        <w:spacing w:after="40" w:before="40"/>
        <w:jc w:val="center"/>
      </w:pPr>
      <w:r>
        <w:rPr>
          <w:rFonts w:ascii="Open Sans" w:cs="Open Sans" w:eastAsia="Open Sans" w:hAnsi="Open Sans"/>
          <w:b/>
          <w:bCs/>
          <w:color w:val="F67D4B"/>
          <w:sz w:val="24"/>
          <w:szCs w:val="24"/>
        </w:rPr>
        <w:t xml:space="preserve">↓</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F67D4B"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F67D4B"/>
                <w:sz w:val="20"/>
                <w:szCs w:val="20"/>
              </w:rPr>
              <w:t xml:space="preserve">Index into jian_vault full-text search</w:t>
            </w:r>
          </w:p>
          <w:p>
            <w:r>
              <w:rPr>
                <w:rFonts w:ascii="Open Sans" w:cs="Open Sans" w:eastAsia="Open Sans" w:hAnsi="Open Sans"/>
                <w:color w:val="59595B"/>
                <w:sz w:val="18"/>
                <w:szCs w:val="18"/>
              </w:rPr>
              <w:t xml:space="preserve">all extracted content searchable at query time</w:t>
            </w:r>
          </w:p>
        </w:tc>
      </w:tr>
    </w:tbl>
    <w:p>
      <w:pPr>
        <w:spacing w:before="200"/>
      </w:pPr>
    </w:p>
    <w:p>
      <w:pPr>
        <w:pStyle w:val="Heading2"/>
        <w:spacing w:after="120" w:before="260"/>
      </w:pPr>
      <w:r>
        <w:rPr>
          <w:rFonts w:ascii="Open Sans" w:cs="Open Sans" w:eastAsia="Open Sans" w:hAnsi="Open Sans"/>
          <w:b/>
          <w:bCs/>
          <w:color w:val="1A1A2E"/>
          <w:sz w:val="26"/>
          <w:szCs w:val="26"/>
        </w:rPr>
        <w:t xml:space="preserve">Ticket to Teams channel lifecycle</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006DB6"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006DB6"/>
                <w:sz w:val="20"/>
                <w:szCs w:val="20"/>
              </w:rPr>
              <w:t xml:space="preserve">Jian opens a CP ticket</w:t>
            </w:r>
          </w:p>
          <w:p>
            <w:r>
              <w:rPr>
                <w:rFonts w:ascii="Open Sans" w:cs="Open Sans" w:eastAsia="Open Sans" w:hAnsi="Open Sans"/>
                <w:color w:val="59595B"/>
                <w:sz w:val="18"/>
                <w:szCs w:val="18"/>
              </w:rPr>
              <w:t xml:space="preserve">cp_tickets.py</w:t>
            </w:r>
          </w:p>
        </w:tc>
      </w:tr>
    </w:tbl>
    <w:p>
      <w:pPr>
        <w:spacing w:after="40" w:before="40"/>
        <w:jc w:val="center"/>
      </w:pPr>
      <w:r>
        <w:rPr>
          <w:rFonts w:ascii="Open Sans" w:cs="Open Sans" w:eastAsia="Open Sans" w:hAnsi="Open Sans"/>
          <w:b/>
          <w:bCs/>
          <w:color w:val="F67D4B"/>
          <w:sz w:val="24"/>
          <w:szCs w:val="24"/>
        </w:rPr>
        <w:t xml:space="preserve">↓</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1EAAC8"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1EAAC8"/>
                <w:sz w:val="20"/>
                <w:szCs w:val="20"/>
              </w:rPr>
              <w:t xml:space="preserve">Teams channel created</w:t>
            </w:r>
          </w:p>
          <w:p>
            <w:r>
              <w:rPr>
                <w:rFonts w:ascii="Open Sans" w:cs="Open Sans" w:eastAsia="Open Sans" w:hAnsi="Open Sans"/>
                <w:color w:val="59595B"/>
                <w:sz w:val="18"/>
                <w:szCs w:val="18"/>
              </w:rPr>
              <w:t xml:space="preserve">name = ticket number + subject</w:t>
            </w:r>
          </w:p>
        </w:tc>
      </w:tr>
    </w:tbl>
    <w:p>
      <w:pPr>
        <w:spacing w:after="40" w:before="40"/>
        <w:jc w:val="center"/>
      </w:pPr>
      <w:r>
        <w:rPr>
          <w:rFonts w:ascii="Open Sans" w:cs="Open Sans" w:eastAsia="Open Sans" w:hAnsi="Open Sans"/>
          <w:b/>
          <w:bCs/>
          <w:color w:val="F67D4B"/>
          <w:sz w:val="24"/>
          <w:szCs w:val="24"/>
        </w:rPr>
        <w:t xml:space="preserve">↓</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006DB6"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006DB6"/>
                <w:sz w:val="20"/>
                <w:szCs w:val="20"/>
              </w:rPr>
              <w:t xml:space="preserve">Tech works the ticket</w:t>
            </w:r>
          </w:p>
          <w:p>
            <w:r>
              <w:rPr>
                <w:rFonts w:ascii="Open Sans" w:cs="Open Sans" w:eastAsia="Open Sans" w:hAnsi="Open Sans"/>
                <w:color w:val="59595B"/>
                <w:sz w:val="18"/>
                <w:szCs w:val="18"/>
              </w:rPr>
              <w:t xml:space="preserve">time entries and comments flow both ways via the poller</w:t>
            </w:r>
          </w:p>
        </w:tc>
      </w:tr>
    </w:tbl>
    <w:p>
      <w:pPr>
        <w:spacing w:after="40" w:before="40"/>
        <w:jc w:val="center"/>
      </w:pPr>
      <w:r>
        <w:rPr>
          <w:rFonts w:ascii="Open Sans" w:cs="Open Sans" w:eastAsia="Open Sans" w:hAnsi="Open Sans"/>
          <w:b/>
          <w:bCs/>
          <w:color w:val="F67D4B"/>
          <w:sz w:val="24"/>
          <w:szCs w:val="24"/>
        </w:rPr>
        <w:t xml:space="preserve">↓</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F67D4B"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F67D4B"/>
                <w:sz w:val="20"/>
                <w:szCs w:val="20"/>
              </w:rPr>
              <w:t xml:space="preserve">Hourly shift routing</w:t>
            </w:r>
          </w:p>
          <w:p>
            <w:r>
              <w:rPr>
                <w:rFonts w:ascii="Open Sans" w:cs="Open Sans" w:eastAsia="Open Sans" w:hAnsi="Open Sans"/>
                <w:color w:val="59595B"/>
                <w:sz w:val="18"/>
                <w:szCs w:val="18"/>
              </w:rPr>
              <w:t xml:space="preserve">4 rules; a manual pin stops auto-routing</w:t>
            </w:r>
          </w:p>
        </w:tc>
      </w:tr>
    </w:tbl>
    <w:p>
      <w:pPr>
        <w:spacing w:after="40" w:before="40"/>
        <w:jc w:val="center"/>
      </w:pPr>
      <w:r>
        <w:rPr>
          <w:rFonts w:ascii="Open Sans" w:cs="Open Sans" w:eastAsia="Open Sans" w:hAnsi="Open Sans"/>
          <w:b/>
          <w:bCs/>
          <w:color w:val="F67D4B"/>
          <w:sz w:val="24"/>
          <w:szCs w:val="24"/>
        </w:rPr>
        <w:t xml:space="preserve">↓</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1A1A2E"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1A1A2E"/>
                <w:sz w:val="20"/>
                <w:szCs w:val="20"/>
              </w:rPr>
              <w:t xml:space="preserve">Closed and archived</w:t>
            </w:r>
          </w:p>
          <w:p>
            <w:r>
              <w:rPr>
                <w:rFonts w:ascii="Open Sans" w:cs="Open Sans" w:eastAsia="Open Sans" w:hAnsi="Open Sans"/>
                <w:color w:val="59595B"/>
                <w:sz w:val="18"/>
                <w:szCs w:val="18"/>
              </w:rPr>
              <w:t xml:space="preserve">channel renamed [CLOSED]</w:t>
            </w:r>
          </w:p>
        </w:tc>
      </w:tr>
    </w:tbl>
    <w:p>
      <w:r>
        <w:br w:type="page"/>
      </w:r>
    </w:p>
    <w:tbl>
      <w:tblPr>
        <w:tblW w:type="dxa" w:w="9360"/>
        <w:tblBorders>
          <w:top w:val="none"/>
          <w:left w:val="none"/>
          <w:bottom w:val="none"/>
          <w:right w:val="none"/>
          <w:insideH w:val="none"/>
          <w:insideV w:val="none"/>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100"/>
              <w:left w:type="dxa" w:w="200"/>
              <w:bottom w:type="dxa" w:w="100"/>
              <w:right w:type="dxa" w:w="0"/>
            </w:tcMar>
          </w:tcPr>
          <w:p>
            <w:pPr>
              <w:pStyle w:val="Heading1"/>
            </w:pPr>
            <w:r>
              <w:rPr>
                <w:rFonts w:ascii="Open Sans" w:cs="Open Sans" w:eastAsia="Open Sans" w:hAnsi="Open Sans"/>
                <w:b/>
                <w:bCs/>
                <w:color w:val="006DB6"/>
                <w:sz w:val="32"/>
                <w:szCs w:val="32"/>
              </w:rPr>
              <w:t xml:space="preserve">9. Voice Agent — VAPI + OpenAI Realtime</w:t>
            </w:r>
          </w:p>
        </w:tc>
      </w:tr>
    </w:tbl>
    <w:p>
      <w:pPr>
        <w:spacing w:after="160" w:before="160"/>
      </w:pPr>
      <w:r>
        <w:rPr>
          <w:rFonts w:ascii="Open Sans" w:cs="Open Sans" w:eastAsia="Open Sans" w:hAnsi="Open Sans"/>
          <w:color w:val="59595B"/>
          <w:sz w:val="22"/>
          <w:szCs w:val="22"/>
        </w:rPr>
        <w:t xml:space="preserve">Jian answers the Technijian IT support line as an autonomous voice agent. It is the one component that does not route through the LiteLLM gateway — VAPI manages the OpenAI Realtime connection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Layer</w:t>
            </w:r>
          </w:p>
        </w:tc>
        <w:tc>
          <w:tcPr>
            <w:tcW w:type="dxa" w:w="27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Technology</w:t>
            </w:r>
          </w:p>
        </w:tc>
        <w:tc>
          <w:tcPr>
            <w:tcW w:type="dxa" w:w="456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Notes</w:t>
            </w:r>
          </w:p>
        </w:tc>
      </w:tr>
      <w:tr>
        <w:tc>
          <w:tcPr>
            <w:tcW w:type="dxa" w:w="21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SIP trunk</w:t>
            </w:r>
          </w:p>
        </w:tc>
        <w:tc>
          <w:tcPr>
            <w:tcW w:type="dxa" w:w="2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3CX to VAPI external trunk</w:t>
            </w:r>
          </w:p>
        </w:tc>
        <w:tc>
          <w:tcPr>
            <w:tcW w:type="dxa" w:w="4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3CX routes inbound calls to VAPI on a dial-plan rule match</w:t>
            </w:r>
          </w:p>
        </w:tc>
      </w:tr>
      <w:tr>
        <w:tc>
          <w:tcPr>
            <w:tcW w:type="dxa" w:w="21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Voice session</w:t>
            </w:r>
          </w:p>
        </w:tc>
        <w:tc>
          <w:tcPr>
            <w:tcW w:type="dxa" w:w="2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VAPI.ai assistant</w:t>
            </w:r>
          </w:p>
        </w:tc>
        <w:tc>
          <w:tcPr>
            <w:tcW w:type="dxa" w:w="4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Handles speech recognition, speech synthesis, real-time streaming</w:t>
            </w:r>
          </w:p>
        </w:tc>
      </w:tr>
      <w:tr>
        <w:tc>
          <w:tcPr>
            <w:tcW w:type="dxa" w:w="21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Brain model</w:t>
            </w:r>
          </w:p>
        </w:tc>
        <w:tc>
          <w:tcPr>
            <w:tcW w:type="dxa" w:w="2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gpt-5.5 (OpenAI)</w:t>
            </w:r>
          </w:p>
        </w:tc>
        <w:tc>
          <w:tcPr>
            <w:tcW w:type="dxa" w:w="4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A/B winner as of May 2026</w:t>
            </w:r>
          </w:p>
        </w:tc>
      </w:tr>
      <w:tr>
        <w:tc>
          <w:tcPr>
            <w:tcW w:type="dxa" w:w="21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Conversation logic</w:t>
            </w:r>
          </w:p>
        </w:tc>
        <w:tc>
          <w:tcPr>
            <w:tcW w:type="dxa" w:w="2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vapi_service.py</w:t>
            </w:r>
          </w:p>
        </w:tc>
        <w:tc>
          <w:tcPr>
            <w:tcW w:type="dxa" w:w="4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Webhook receiver handling all conversation events</w:t>
            </w:r>
          </w:p>
        </w:tc>
      </w:tr>
      <w:tr>
        <w:tc>
          <w:tcPr>
            <w:tcW w:type="dxa" w:w="21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Caller context</w:t>
            </w:r>
          </w:p>
        </w:tc>
        <w:tc>
          <w:tcPr>
            <w:tcW w:type="dxa" w:w="2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brain.json + known_callers.json</w:t>
            </w:r>
          </w:p>
        </w:tc>
        <w:tc>
          <w:tcPr>
            <w:tcW w:type="dxa" w:w="4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Per-client contacts, open tickets, phone-to-name lookup</w:t>
            </w:r>
          </w:p>
        </w:tc>
      </w:tr>
    </w:tbl>
    <w:p>
      <w:pPr>
        <w:spacing w:before="200"/>
      </w:pPr>
    </w:p>
    <w:p>
      <w:pPr>
        <w:pStyle w:val="Heading2"/>
        <w:spacing w:after="120" w:before="260"/>
      </w:pPr>
      <w:r>
        <w:rPr>
          <w:rFonts w:ascii="Open Sans" w:cs="Open Sans" w:eastAsia="Open Sans" w:hAnsi="Open Sans"/>
          <w:b/>
          <w:bCs/>
          <w:color w:val="1A1A2E"/>
          <w:sz w:val="26"/>
          <w:szCs w:val="26"/>
        </w:rPr>
        <w:t xml:space="preserve">Call flow</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006DB6"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006DB6"/>
                <w:sz w:val="20"/>
                <w:szCs w:val="20"/>
              </w:rPr>
              <w:t xml:space="preserve">Caller dials the support line</w:t>
            </w:r>
          </w:p>
          <w:p>
            <w:r>
              <w:rPr>
                <w:rFonts w:ascii="Open Sans" w:cs="Open Sans" w:eastAsia="Open Sans" w:hAnsi="Open Sans"/>
                <w:color w:val="59595B"/>
                <w:sz w:val="18"/>
                <w:szCs w:val="18"/>
              </w:rPr>
              <w:t xml:space="preserve">3CX to VAPI external trunk</w:t>
            </w:r>
          </w:p>
        </w:tc>
      </w:tr>
    </w:tbl>
    <w:p>
      <w:pPr>
        <w:spacing w:after="40" w:before="40"/>
        <w:jc w:val="center"/>
      </w:pPr>
      <w:r>
        <w:rPr>
          <w:rFonts w:ascii="Open Sans" w:cs="Open Sans" w:eastAsia="Open Sans" w:hAnsi="Open Sans"/>
          <w:b/>
          <w:bCs/>
          <w:color w:val="F67D4B"/>
          <w:sz w:val="24"/>
          <w:szCs w:val="24"/>
        </w:rPr>
        <w:t xml:space="preserve">↓</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006DB6"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006DB6"/>
                <w:sz w:val="20"/>
                <w:szCs w:val="20"/>
              </w:rPr>
              <w:t xml:space="preserve">Caller identified</w:t>
            </w:r>
          </w:p>
          <w:p>
            <w:r>
              <w:rPr>
                <w:rFonts w:ascii="Open Sans" w:cs="Open Sans" w:eastAsia="Open Sans" w:hAnsi="Open Sans"/>
                <w:color w:val="59595B"/>
                <w:sz w:val="18"/>
                <w:szCs w:val="18"/>
              </w:rPr>
              <w:t xml:space="preserve">from known_callers.json, or the agent asks for a name</w:t>
            </w:r>
          </w:p>
        </w:tc>
      </w:tr>
    </w:tbl>
    <w:p>
      <w:pPr>
        <w:spacing w:after="40" w:before="40"/>
        <w:jc w:val="center"/>
      </w:pPr>
      <w:r>
        <w:rPr>
          <w:rFonts w:ascii="Open Sans" w:cs="Open Sans" w:eastAsia="Open Sans" w:hAnsi="Open Sans"/>
          <w:b/>
          <w:bCs/>
          <w:color w:val="F67D4B"/>
          <w:sz w:val="24"/>
          <w:szCs w:val="24"/>
        </w:rPr>
        <w:t xml:space="preserve">↓</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1EAAC8"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1EAAC8"/>
                <w:sz w:val="20"/>
                <w:szCs w:val="20"/>
              </w:rPr>
              <w:t xml:space="preserve">Brain loaded; open tickets offered</w:t>
            </w:r>
          </w:p>
          <w:p>
            <w:r>
              <w:rPr>
                <w:rFonts w:ascii="Open Sans" w:cs="Open Sans" w:eastAsia="Open Sans" w:hAnsi="Open Sans"/>
                <w:color w:val="59595B"/>
                <w:sz w:val="18"/>
                <w:szCs w:val="18"/>
              </w:rPr>
              <w:t xml:space="preserve">agent skips ahead if the caller leads with a new issue</w:t>
            </w:r>
          </w:p>
        </w:tc>
      </w:tr>
    </w:tbl>
    <w:p>
      <w:pPr>
        <w:spacing w:after="40" w:before="40"/>
        <w:jc w:val="center"/>
      </w:pPr>
      <w:r>
        <w:rPr>
          <w:rFonts w:ascii="Open Sans" w:cs="Open Sans" w:eastAsia="Open Sans" w:hAnsi="Open Sans"/>
          <w:b/>
          <w:bCs/>
          <w:color w:val="F67D4B"/>
          <w:sz w:val="24"/>
          <w:szCs w:val="24"/>
        </w:rPr>
        <w:t xml:space="preserve">↓</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F67D4B"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F67D4B"/>
                <w:sz w:val="20"/>
                <w:szCs w:val="20"/>
              </w:rPr>
              <w:t xml:space="preserve">Problem captured</w:t>
            </w:r>
          </w:p>
          <w:p>
            <w:r>
              <w:rPr>
                <w:rFonts w:ascii="Open Sans" w:cs="Open Sans" w:eastAsia="Open Sans" w:hAnsi="Open Sans"/>
                <w:color w:val="59595B"/>
                <w:sz w:val="18"/>
                <w:szCs w:val="18"/>
              </w:rPr>
              <w:t xml:space="preserve">create a new ticket, or attach to an existing one — no duplicate</w:t>
            </w:r>
          </w:p>
        </w:tc>
      </w:tr>
    </w:tbl>
    <w:p>
      <w:pPr>
        <w:spacing w:after="40" w:before="40"/>
        <w:jc w:val="center"/>
      </w:pPr>
      <w:r>
        <w:rPr>
          <w:rFonts w:ascii="Open Sans" w:cs="Open Sans" w:eastAsia="Open Sans" w:hAnsi="Open Sans"/>
          <w:b/>
          <w:bCs/>
          <w:color w:val="F67D4B"/>
          <w:sz w:val="24"/>
          <w:szCs w:val="24"/>
        </w:rPr>
        <w:t xml:space="preserve">↓</w:t>
      </w:r>
    </w:p>
    <w:tbl>
      <w:tblPr>
        <w:tblW w:type="dxa" w:w="9360"/>
        <w:tblBorders>
          <w:top w:val="none"/>
          <w:left w:val="none"/>
          <w:bottom w:val="none"/>
          <w:right w:val="none"/>
          <w:insideH w:val="none"/>
          <w:insideV w:val="none"/>
        </w:tblBorders>
      </w:tblPr>
      <w:tblGrid>
        <w:gridCol w:w="9360"/>
      </w:tblGrid>
      <w:tr>
        <w:tc>
          <w:tcPr>
            <w:tcW w:type="dxa" w:w="9360"/>
            <w:tcBorders>
              <w:top w:val="single" w:color="E9ECEF" w:sz="1"/>
              <w:left w:val="single" w:color="1A1A2E" w:sz="24"/>
              <w:bottom w:val="single" w:color="E9ECEF" w:sz="1"/>
              <w:right w:val="single" w:color="E9ECEF" w:sz="1"/>
            </w:tcBorders>
            <w:shd w:fill="F8F9FA" w:val="clear"/>
            <w:tcMar>
              <w:top w:type="dxa" w:w="120"/>
              <w:left w:type="dxa" w:w="220"/>
              <w:bottom w:type="dxa" w:w="120"/>
              <w:right w:type="dxa" w:w="200"/>
            </w:tcMar>
          </w:tcPr>
          <w:p>
            <w:pPr>
              <w:spacing w:after="40"/>
            </w:pPr>
            <w:r>
              <w:rPr>
                <w:rFonts w:ascii="Open Sans" w:cs="Open Sans" w:eastAsia="Open Sans" w:hAnsi="Open Sans"/>
                <w:b/>
                <w:bCs/>
                <w:color w:val="1A1A2E"/>
                <w:sz w:val="20"/>
                <w:szCs w:val="20"/>
              </w:rPr>
              <w:t xml:space="preserve">Call closes</w:t>
            </w:r>
          </w:p>
          <w:p>
            <w:r>
              <w:rPr>
                <w:rFonts w:ascii="Open Sans" w:cs="Open Sans" w:eastAsia="Open Sans" w:hAnsi="Open Sans"/>
                <w:color w:val="59595B"/>
                <w:sz w:val="18"/>
                <w:szCs w:val="18"/>
              </w:rPr>
              <w:t xml:space="preserve">commit to the Client Portal and update known_callers.json</w:t>
            </w:r>
          </w:p>
        </w:tc>
      </w:tr>
    </w:tbl>
    <w:p>
      <w:pPr>
        <w:spacing w:after="160" w:before="160"/>
      </w:pPr>
      <w:r>
        <w:rPr>
          <w:rFonts w:ascii="Open Sans" w:cs="Open Sans" w:eastAsia="Open Sans" w:hAnsi="Open Sans"/>
          <w:color w:val="59595B"/>
          <w:sz w:val="22"/>
          <w:szCs w:val="22"/>
        </w:rPr>
        <w:t xml:space="preserve">Scope guard: the agent handles IT support topics only. Billing and sales questions route to the accounts team; out-of-scope requests are politely declined; abusive calls trigger a safe exit.</w:t>
      </w:r>
    </w:p>
    <w:p>
      <w:r>
        <w:br w:type="page"/>
      </w:r>
    </w:p>
    <w:tbl>
      <w:tblPr>
        <w:tblW w:type="dxa" w:w="9360"/>
        <w:tblBorders>
          <w:top w:val="none"/>
          <w:left w:val="none"/>
          <w:bottom w:val="none"/>
          <w:right w:val="none"/>
          <w:insideH w:val="none"/>
          <w:insideV w:val="none"/>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100"/>
              <w:left w:type="dxa" w:w="200"/>
              <w:bottom w:type="dxa" w:w="100"/>
              <w:right w:type="dxa" w:w="0"/>
            </w:tcMar>
          </w:tcPr>
          <w:p>
            <w:pPr>
              <w:pStyle w:val="Heading1"/>
            </w:pPr>
            <w:r>
              <w:rPr>
                <w:rFonts w:ascii="Open Sans" w:cs="Open Sans" w:eastAsia="Open Sans" w:hAnsi="Open Sans"/>
                <w:b/>
                <w:bCs/>
                <w:color w:val="006DB6"/>
                <w:sz w:val="32"/>
                <w:szCs w:val="32"/>
              </w:rPr>
              <w:t xml:space="preserve">10. Skills &amp; Pipeline Catalog</w:t>
            </w:r>
          </w:p>
        </w:tc>
      </w:tr>
    </w:tbl>
    <w:p>
      <w:pPr>
        <w:spacing w:after="160" w:before="160"/>
      </w:pPr>
      <w:r>
        <w:rPr>
          <w:rFonts w:ascii="Open Sans" w:cs="Open Sans" w:eastAsia="Open Sans" w:hAnsi="Open Sans"/>
          <w:color w:val="59595B"/>
          <w:sz w:val="22"/>
          <w:szCs w:val="22"/>
        </w:rPr>
        <w:t xml:space="preserve">Beyond the autonomous agents, the platform ships more than 65 operator skills — reusable, on-demand procedures for data pulls, reporting, and administration. They are grouped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Domain</w:t>
            </w:r>
          </w:p>
        </w:tc>
        <w:tc>
          <w:tcPr>
            <w:tcW w:type="dxa" w:w="666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Representative skills</w:t>
            </w:r>
          </w:p>
        </w:tc>
      </w:tr>
      <w:tr>
        <w:tc>
          <w:tcPr>
            <w:tcW w:type="dxa" w:w="2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Client Portal</w:t>
            </w:r>
          </w:p>
        </w:tc>
        <w:tc>
          <w:tcPr>
            <w:tcW w:type="dxa" w:w="66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client-portal-pull, cp-create-ticket, cp-update-ticket, monthly-client-pull, weekly-time-audit</w:t>
            </w:r>
          </w:p>
        </w:tc>
      </w:tr>
      <w:tr>
        <w:tc>
          <w:tcPr>
            <w:tcW w:type="dxa" w:w="2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Security &amp; endpoint pulls</w:t>
            </w:r>
          </w:p>
        </w:tc>
        <w:tc>
          <w:tcPr>
            <w:tcW w:type="dxa" w:w="66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huntress-daily-pull, crowdstrike-daily-pull, sophos-pull, meraki-pull, umbrella-daily-pull</w:t>
            </w:r>
          </w:p>
        </w:tc>
      </w:tr>
      <w:tr>
        <w:tc>
          <w:tcPr>
            <w:tcW w:type="dxa" w:w="2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Email &amp; deliverability</w:t>
            </w:r>
          </w:p>
        </w:tc>
        <w:tc>
          <w:tcPr>
            <w:tcW w:type="dxa" w:w="66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easydmarc-pull, m365-tenant-domain-auth-audit, m365-quarantine-review, mailstore-spe-pull</w:t>
            </w:r>
          </w:p>
        </w:tc>
      </w:tr>
      <w:tr>
        <w:tc>
          <w:tcPr>
            <w:tcW w:type="dxa" w:w="2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Microsoft 365</w:t>
            </w:r>
          </w:p>
        </w:tc>
        <w:tc>
          <w:tcPr>
            <w:tcW w:type="dxa" w:w="66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m365-security-pull, m365-compliance-pull, m365-storage-pull, m365-tenant-onboard</w:t>
            </w:r>
          </w:p>
        </w:tc>
      </w:tr>
      <w:tr>
        <w:tc>
          <w:tcPr>
            <w:tcW w:type="dxa" w:w="2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Backup &amp; infrastructure</w:t>
            </w:r>
          </w:p>
        </w:tc>
        <w:tc>
          <w:tcPr>
            <w:tcW w:type="dxa" w:w="66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veeam-vbr, veeam-365-pull, veeam-one-pull, vcenter-admin, me-ec-pull</w:t>
            </w:r>
          </w:p>
        </w:tc>
      </w:tr>
      <w:tr>
        <w:tc>
          <w:tcPr>
            <w:tcW w:type="dxa" w:w="2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Reporting &amp; deliverables</w:t>
            </w:r>
          </w:p>
        </w:tc>
        <w:tc>
          <w:tcPr>
            <w:tcW w:type="dxa" w:w="66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meraki-monthly-report, datacenter-summary, monthly-service-counts, email-monthly-reports</w:t>
            </w:r>
          </w:p>
        </w:tc>
      </w:tr>
      <w:tr>
        <w:tc>
          <w:tcPr>
            <w:tcW w:type="dxa" w:w="2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Agent harness &amp; vault</w:t>
            </w:r>
          </w:p>
        </w:tc>
        <w:tc>
          <w:tcPr>
            <w:tcW w:type="dxa" w:w="66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agent-harness, jian-vault-refresh, obsidian-cli, azure-openai-admin</w:t>
            </w:r>
          </w:p>
        </w:tc>
      </w:tr>
      <w:tr>
        <w:tc>
          <w:tcPr>
            <w:tcW w:type="dxa" w:w="2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Authoring &amp; branding</w:t>
            </w:r>
          </w:p>
        </w:tc>
        <w:tc>
          <w:tcPr>
            <w:tcW w:type="dxa" w:w="66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gen-sow, send-esign, send-client-email, pricing-strategist, the technijian-* design skills</w:t>
            </w:r>
          </w:p>
        </w:tc>
      </w:tr>
      <w:tr>
        <w:tc>
          <w:tcPr>
            <w:tcW w:type="dxa" w:w="2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Code intelligence</w:t>
            </w:r>
          </w:p>
        </w:tc>
        <w:tc>
          <w:tcPr>
            <w:tcW w:type="dxa" w:w="66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the gitnexus-* skills: exploring, impact-analysis, debugging, refactoring</w:t>
            </w:r>
          </w:p>
        </w:tc>
      </w:tr>
    </w:tbl>
    <w:p>
      <w:r>
        <w:br w:type="page"/>
      </w:r>
    </w:p>
    <w:tbl>
      <w:tblPr>
        <w:tblW w:type="dxa" w:w="9360"/>
        <w:tblBorders>
          <w:top w:val="none"/>
          <w:left w:val="none"/>
          <w:bottom w:val="none"/>
          <w:right w:val="none"/>
          <w:insideH w:val="none"/>
          <w:insideV w:val="none"/>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100"/>
              <w:left w:type="dxa" w:w="200"/>
              <w:bottom w:type="dxa" w:w="100"/>
              <w:right w:type="dxa" w:w="0"/>
            </w:tcMar>
          </w:tcPr>
          <w:p>
            <w:pPr>
              <w:pStyle w:val="Heading1"/>
            </w:pPr>
            <w:r>
              <w:rPr>
                <w:rFonts w:ascii="Open Sans" w:cs="Open Sans" w:eastAsia="Open Sans" w:hAnsi="Open Sans"/>
                <w:b/>
                <w:bCs/>
                <w:color w:val="006DB6"/>
                <w:sz w:val="32"/>
                <w:szCs w:val="32"/>
              </w:rPr>
              <w:t xml:space="preserve">11. Security &amp; Governance</w:t>
            </w:r>
          </w:p>
        </w:tc>
      </w:tr>
    </w:tbl>
    <w:p>
      <w:pPr>
        <w:pStyle w:val="Heading2"/>
        <w:spacing w:after="120" w:before="260"/>
      </w:pPr>
      <w:r>
        <w:rPr>
          <w:rFonts w:ascii="Open Sans" w:cs="Open Sans" w:eastAsia="Open Sans" w:hAnsi="Open Sans"/>
          <w:b/>
          <w:bCs/>
          <w:color w:val="1A1A2E"/>
          <w:sz w:val="26"/>
          <w:szCs w:val="26"/>
        </w:rPr>
        <w:t xml:space="preserve">Auto-fix is disabled by default</w:t>
      </w:r>
    </w:p>
    <w:p>
      <w:pPr>
        <w:spacing w:after="120" w:before="0"/>
      </w:pPr>
      <w:r>
        <w:rPr>
          <w:rFonts w:ascii="Open Sans" w:cs="Open Sans" w:eastAsia="Open Sans" w:hAnsi="Open Sans"/>
          <w:color w:val="59595B"/>
          <w:sz w:val="22"/>
          <w:szCs w:val="22"/>
        </w:rPr>
        <w:t xml:space="preserve">Jian’s auto-fix engine is off across every platform. Before any Tier-1 remediation is enabled it requires all three of the following:</w:t>
      </w:r>
    </w:p>
    <w:p>
      <w:pPr>
        <w:pStyle w:val="ListParagraph"/>
        <w:numPr>
          <w:ilvl w:val="0"/>
          <w:numId w:val="3"/>
        </w:numPr>
        <w:spacing w:after="80"/>
      </w:pPr>
      <w:r>
        <w:rPr>
          <w:rFonts w:ascii="Open Sans" w:cs="Open Sans" w:eastAsia="Open Sans" w:hAnsi="Open Sans"/>
          <w:color w:val="59595B"/>
          <w:sz w:val="22"/>
          <w:szCs w:val="22"/>
        </w:rPr>
        <w:t xml:space="preserve">Seven days of clean diagnose traces showing the agent’s recommended action matched what technicians actually did at least 95 percent of the time.</w:t>
      </w:r>
    </w:p>
    <w:p>
      <w:pPr>
        <w:pStyle w:val="ListParagraph"/>
        <w:numPr>
          <w:ilvl w:val="0"/>
          <w:numId w:val="3"/>
        </w:numPr>
        <w:spacing w:after="80"/>
      </w:pPr>
      <w:r>
        <w:rPr>
          <w:rFonts w:ascii="Open Sans" w:cs="Open Sans" w:eastAsia="Open Sans" w:hAnsi="Open Sans"/>
          <w:color w:val="59595B"/>
          <w:sz w:val="22"/>
          <w:szCs w:val="22"/>
        </w:rPr>
        <w:t xml:space="preserve">Explicit per-operation approval by the founder, recorded with approver, timestamp, and rollback notes.</w:t>
      </w:r>
    </w:p>
    <w:p>
      <w:pPr>
        <w:pStyle w:val="ListParagraph"/>
        <w:numPr>
          <w:ilvl w:val="0"/>
          <w:numId w:val="3"/>
        </w:numPr>
        <w:spacing w:after="80"/>
      </w:pPr>
      <w:r>
        <w:rPr>
          <w:rFonts w:ascii="Open Sans" w:cs="Open Sans" w:eastAsia="Open Sans" w:hAnsi="Open Sans"/>
          <w:color w:val="59595B"/>
          <w:sz w:val="22"/>
          <w:szCs w:val="22"/>
        </w:rPr>
        <w:t xml:space="preserve">A reviewable rollback path, documented and tested.</w:t>
      </w:r>
    </w:p>
    <w:p>
      <w:pPr>
        <w:spacing w:after="160" w:before="120"/>
      </w:pPr>
      <w:r>
        <w:rPr>
          <w:rFonts w:ascii="Open Sans" w:cs="Open Sans" w:eastAsia="Open Sans" w:hAnsi="Open Sans"/>
          <w:color w:val="59595B"/>
          <w:sz w:val="22"/>
          <w:szCs w:val="22"/>
        </w:rPr>
        <w:t xml:space="preserve">Until that gate clears, Jian opens tickets only — no silent fixes. This produces a documented audit trail showing the agent would have made the right call repeatedly before it is ever empowered to act.</w:t>
      </w:r>
    </w:p>
    <w:p>
      <w:pPr>
        <w:pStyle w:val="Heading2"/>
        <w:spacing w:after="120" w:before="260"/>
      </w:pPr>
      <w:r>
        <w:rPr>
          <w:rFonts w:ascii="Open Sans" w:cs="Open Sans" w:eastAsia="Open Sans" w:hAnsi="Open Sans"/>
          <w:b/>
          <w:bCs/>
          <w:color w:val="1A1A2E"/>
          <w:sz w:val="26"/>
          <w:szCs w:val="26"/>
        </w:rPr>
        <w:t xml:space="preserve">Credential and data handling</w:t>
      </w:r>
    </w:p>
    <w:p>
      <w:pPr>
        <w:pStyle w:val="ListParagraph"/>
        <w:numPr>
          <w:ilvl w:val="0"/>
          <w:numId w:val="2"/>
        </w:numPr>
        <w:spacing w:after="60"/>
      </w:pPr>
      <w:r>
        <w:rPr>
          <w:rFonts w:ascii="Open Sans" w:cs="Open Sans" w:eastAsia="Open Sans" w:hAnsi="Open Sans"/>
          <w:color w:val="59595B"/>
          <w:sz w:val="22"/>
          <w:szCs w:val="22"/>
        </w:rPr>
        <w:t xml:space="preserve">Every credential lives in the OneDrive key vault as a per-platform file; nothing that authenticates Technijian to a system is ever committed to the repository.</w:t>
      </w:r>
    </w:p>
    <w:p>
      <w:pPr>
        <w:pStyle w:val="ListParagraph"/>
        <w:numPr>
          <w:ilvl w:val="0"/>
          <w:numId w:val="2"/>
        </w:numPr>
        <w:spacing w:after="60"/>
      </w:pPr>
      <w:r>
        <w:rPr>
          <w:rFonts w:ascii="Open Sans" w:cs="Open Sans" w:eastAsia="Open Sans" w:hAnsi="Open Sans"/>
          <w:color w:val="59595B"/>
          <w:sz w:val="22"/>
          <w:szCs w:val="22"/>
        </w:rPr>
        <w:t xml:space="preserve">The platform reads third-party platform APIs read-only by default; the only writers are gated by an explicit APPLY mode in each platform’s configuration.</w:t>
      </w:r>
    </w:p>
    <w:p>
      <w:pPr>
        <w:pStyle w:val="ListParagraph"/>
        <w:numPr>
          <w:ilvl w:val="0"/>
          <w:numId w:val="2"/>
        </w:numPr>
        <w:spacing w:after="60"/>
      </w:pPr>
      <w:r>
        <w:rPr>
          <w:rFonts w:ascii="Open Sans" w:cs="Open Sans" w:eastAsia="Open Sans" w:hAnsi="Open Sans"/>
          <w:color w:val="59595B"/>
          <w:sz w:val="22"/>
          <w:szCs w:val="22"/>
        </w:rPr>
        <w:t xml:space="preserve">Tenancy follows a three-tier model — Operator, Tenant (Technijian), Client — with a shared database and a tenant column, never a connection-string selector.</w:t>
      </w:r>
    </w:p>
    <w:p>
      <w:pPr>
        <w:pStyle w:val="ListParagraph"/>
        <w:numPr>
          <w:ilvl w:val="0"/>
          <w:numId w:val="2"/>
        </w:numPr>
        <w:spacing w:after="60"/>
      </w:pPr>
      <w:r>
        <w:rPr>
          <w:rFonts w:ascii="Open Sans" w:cs="Open Sans" w:eastAsia="Open Sans" w:hAnsi="Open Sans"/>
          <w:color w:val="59595B"/>
          <w:sz w:val="22"/>
          <w:szCs w:val="22"/>
        </w:rPr>
        <w:t xml:space="preserve">Every decision, escalation, remediation, and threshold change is written to an append-only event log.</w:t>
      </w:r>
    </w:p>
    <w:p>
      <w:pPr>
        <w:spacing w:before="220"/>
      </w:pPr>
    </w:p>
    <w:tbl>
      <w:tblPr>
        <w:tblW w:type="dxa" w:w="9360"/>
        <w:tblBorders>
          <w:top w:val="none"/>
          <w:left w:val="none"/>
          <w:bottom w:val="none"/>
          <w:right w:val="none"/>
          <w:insideH w:val="none"/>
          <w:insideV w:val="none"/>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100"/>
              <w:left w:type="dxa" w:w="200"/>
              <w:bottom w:type="dxa" w:w="100"/>
              <w:right w:type="dxa" w:w="0"/>
            </w:tcMar>
          </w:tcPr>
          <w:p>
            <w:pPr>
              <w:pStyle w:val="Heading1"/>
            </w:pPr>
            <w:r>
              <w:rPr>
                <w:rFonts w:ascii="Open Sans" w:cs="Open Sans" w:eastAsia="Open Sans" w:hAnsi="Open Sans"/>
                <w:b/>
                <w:bCs/>
                <w:color w:val="006DB6"/>
                <w:sz w:val="32"/>
                <w:szCs w:val="32"/>
              </w:rPr>
              <w:t xml:space="preserve">12. Roadmap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Quarter</w:t>
            </w:r>
          </w:p>
        </w:tc>
        <w:tc>
          <w:tcPr>
            <w:tcW w:type="dxa" w:w="756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Item</w:t>
            </w:r>
          </w:p>
        </w:tc>
      </w:tr>
      <w:tr>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2026 Q2</w:t>
            </w:r>
          </w:p>
        </w:tc>
        <w:tc>
          <w:tcPr>
            <w:tcW w:type="dxa" w:w="7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Graduate Sophos firewall remediation registry — the first Tier-1 operations go live</w:t>
            </w:r>
          </w:p>
        </w:tc>
      </w:tr>
      <w:tr>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2026 Q2</w:t>
            </w:r>
          </w:p>
        </w:tc>
        <w:tc>
          <w:tcPr>
            <w:tcW w:type="dxa" w:w="7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Cross-client coordinated-attack detection routed to a Technijian-internal Teams channel</w:t>
            </w:r>
          </w:p>
        </w:tc>
      </w:tr>
      <w:tr>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2026 Q3</w:t>
            </w:r>
          </w:p>
        </w:tc>
        <w:tc>
          <w:tcPr>
            <w:tcW w:type="dxa" w:w="7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Activity aggregators for all 24 platforms</w:t>
            </w:r>
          </w:p>
        </w:tc>
      </w:tr>
      <w:tr>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2026 Q3</w:t>
            </w:r>
          </w:p>
        </w:tc>
        <w:tc>
          <w:tcPr>
            <w:tcW w:type="dxa" w:w="7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Client-facing Jian dashboard — a read-only view of each client’s posture and MITRE timeline</w:t>
            </w:r>
          </w:p>
        </w:tc>
      </w:tr>
      <w:tr>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2026 Q3</w:t>
            </w:r>
          </w:p>
        </w:tc>
        <w:tc>
          <w:tcPr>
            <w:tcW w:type="dxa" w:w="7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Auto-generated monthly compliance PDFs backed by Jian’s evidence chain</w:t>
            </w:r>
          </w:p>
        </w:tc>
      </w:tr>
      <w:tr>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2026 Q3</w:t>
            </w:r>
          </w:p>
        </w:tc>
        <w:tc>
          <w:tcPr>
            <w:tcW w:type="dxa" w:w="7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Jian Remote Agent rollout — client-installed monitoring for SQL Server and Windows Server (see companion spec)</w:t>
            </w:r>
          </w:p>
        </w:tc>
      </w:tr>
      <w:tr>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2026 Q4</w:t>
            </w:r>
          </w:p>
        </w:tc>
        <w:tc>
          <w:tcPr>
            <w:tcW w:type="dxa" w:w="7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Jian connectors graduate to platform MCP servers (Alpha to RTM to Production)</w:t>
            </w:r>
          </w:p>
        </w:tc>
      </w:tr>
    </w:tbl>
    <w:p>
      <w:r>
        <w:br w:type="page"/>
      </w:r>
    </w:p>
    <w:tbl>
      <w:tblPr>
        <w:tblW w:type="dxa" w:w="9360"/>
        <w:tblBorders>
          <w:top w:val="none"/>
          <w:left w:val="none"/>
          <w:bottom w:val="none"/>
          <w:right w:val="none"/>
          <w:insideH w:val="none"/>
          <w:insideV w:val="none"/>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100"/>
              <w:left w:type="dxa" w:w="200"/>
              <w:bottom w:type="dxa" w:w="100"/>
              <w:right w:type="dxa" w:w="0"/>
            </w:tcMar>
          </w:tcPr>
          <w:p>
            <w:pPr>
              <w:pStyle w:val="Heading1"/>
            </w:pPr>
            <w:r>
              <w:rPr>
                <w:rFonts w:ascii="Open Sans" w:cs="Open Sans" w:eastAsia="Open Sans" w:hAnsi="Open Sans"/>
                <w:b/>
                <w:bCs/>
                <w:color w:val="006DB6"/>
                <w:sz w:val="32"/>
                <w:szCs w:val="32"/>
              </w:rPr>
              <w:t xml:space="preserve">13. MS SQL Server Expert Agent &amp; Remote Monitoring</w:t>
            </w:r>
          </w:p>
        </w:tc>
      </w:tr>
    </w:tbl>
    <w:p>
      <w:pPr>
        <w:spacing w:after="180" w:before="160"/>
      </w:pPr>
      <w:r>
        <w:rPr>
          <w:rFonts w:ascii="Open Sans" w:cs="Open Sans" w:eastAsia="Open Sans" w:hAnsi="Open Sans"/>
          <w:color w:val="59595B"/>
          <w:sz w:val="22"/>
          <w:szCs w:val="22"/>
        </w:rPr>
        <w:t xml:space="preserve">The newest addition to the platform extends Jian onto client-owned infrastructure and adds a dedicated MS SQL Server expert. A lightweight Jian Remote Agent — a signed-MSI Windows Service installed on a client’s SQL Server and Windows servers — collects health, error, and performance signals and reports them to Technijian at myjian.technijian.com over outbound HTTPS only. Client firewalls are not modified: the agent initiates every connection (pull for config/commands, push for telemetry), and nothing listens for inbound traffic on the client side. All heavy analysis runs centrally, so the agent stays thin and holds no model credentials.</w:t>
      </w:r>
    </w:p>
    <w:tbl>
      <w:tblPr>
        <w:tblW w:type="dxa" w:w="9360"/>
        <w:tblBorders>
          <w:top w:val="none"/>
          <w:left w:val="none"/>
          <w:bottom w:val="none"/>
          <w:right w:val="none"/>
          <w:insideH w:val="none"/>
          <w:insideV w:val="none"/>
        </w:tblBorders>
      </w:tblPr>
      <w:tblGrid>
        <w:gridCol w:w="2070"/>
        <w:gridCol w:w="360"/>
        <w:gridCol w:w="2070"/>
        <w:gridCol w:w="360"/>
        <w:gridCol w:w="2070"/>
        <w:gridCol w:w="360"/>
        <w:gridCol w:w="2070"/>
      </w:tblGrid>
      <w:tr>
        <w:tc>
          <w:tcPr>
            <w:tcW w:type="dxa" w:w="2070"/>
            <w:tcBorders>
              <w:top w:val="single" w:color="1EAAC8" w:sz="2"/>
              <w:left w:val="single" w:color="1EAAC8" w:sz="2"/>
              <w:bottom w:val="single" w:color="1EAAC8" w:sz="2"/>
              <w:right w:val="single" w:color="1EAAC8" w:sz="2"/>
            </w:tcBorders>
            <w:shd w:fill="F8F9FA" w:val="clear"/>
            <w:tcMar>
              <w:top w:type="dxa" w:w="120"/>
              <w:left w:type="dxa" w:w="80"/>
              <w:bottom w:type="dxa" w:w="120"/>
              <w:right w:type="dxa" w:w="80"/>
            </w:tcMar>
            <w:vAlign w:val="center"/>
          </w:tcPr>
          <w:p>
            <w:pPr>
              <w:spacing w:after="30"/>
              <w:jc w:val="center"/>
            </w:pPr>
            <w:r>
              <w:rPr>
                <w:rFonts w:ascii="Open Sans" w:cs="Open Sans" w:eastAsia="Open Sans" w:hAnsi="Open Sans"/>
                <w:b/>
                <w:bCs/>
                <w:color w:val="1EAAC8"/>
                <w:sz w:val="18"/>
                <w:szCs w:val="18"/>
              </w:rPr>
              <w:t xml:space="preserve">Remote Agent</w:t>
            </w:r>
          </w:p>
          <w:p>
            <w:pPr>
              <w:jc w:val="center"/>
            </w:pPr>
            <w:r>
              <w:rPr>
                <w:rFonts w:ascii="Open Sans" w:cs="Open Sans" w:eastAsia="Open Sans" w:hAnsi="Open Sans"/>
                <w:color w:val="59595B"/>
                <w:sz w:val="14"/>
                <w:szCs w:val="14"/>
              </w:rPr>
              <w:t xml:space="preserve">client server</w:t>
            </w:r>
          </w:p>
        </w:tc>
        <w:tc>
          <w:tcPr>
            <w:tcW w:type="dxa" w:w="360"/>
            <w:tcBorders>
              <w:top w:val="none"/>
              <w:left w:val="none"/>
              <w:bottom w:val="none"/>
              <w:right w:val="none"/>
            </w:tcBorders>
            <w:vAlign w:val="center"/>
          </w:tcPr>
          <w:p>
            <w:pPr>
              <w:jc w:val="center"/>
            </w:pPr>
            <w:r>
              <w:rPr>
                <w:rFonts w:ascii="Open Sans" w:cs="Open Sans" w:eastAsia="Open Sans" w:hAnsi="Open Sans"/>
                <w:b/>
                <w:bCs/>
                <w:color w:val="F67D4B"/>
                <w:sz w:val="28"/>
                <w:szCs w:val="28"/>
              </w:rPr>
              <w:t xml:space="preserve">→</w:t>
            </w:r>
          </w:p>
        </w:tc>
        <w:tc>
          <w:tcPr>
            <w:tcW w:type="dxa" w:w="2070"/>
            <w:tcBorders>
              <w:top w:val="single" w:color="006DB6" w:sz="2"/>
              <w:left w:val="single" w:color="006DB6" w:sz="2"/>
              <w:bottom w:val="single" w:color="006DB6" w:sz="2"/>
              <w:right w:val="single" w:color="006DB6" w:sz="2"/>
            </w:tcBorders>
            <w:shd w:fill="F8F9FA" w:val="clear"/>
            <w:tcMar>
              <w:top w:type="dxa" w:w="120"/>
              <w:left w:type="dxa" w:w="80"/>
              <w:bottom w:type="dxa" w:w="120"/>
              <w:right w:type="dxa" w:w="80"/>
            </w:tcMar>
            <w:vAlign w:val="center"/>
          </w:tcPr>
          <w:p>
            <w:pPr>
              <w:spacing w:after="30"/>
              <w:jc w:val="center"/>
            </w:pPr>
            <w:r>
              <w:rPr>
                <w:rFonts w:ascii="Open Sans" w:cs="Open Sans" w:eastAsia="Open Sans" w:hAnsi="Open Sans"/>
                <w:b/>
                <w:bCs/>
                <w:color w:val="006DB6"/>
                <w:sz w:val="18"/>
                <w:szCs w:val="18"/>
              </w:rPr>
              <w:t xml:space="preserve">myjian.technijian.com</w:t>
            </w:r>
          </w:p>
          <w:p>
            <w:pPr>
              <w:jc w:val="center"/>
            </w:pPr>
            <w:r>
              <w:rPr>
                <w:rFonts w:ascii="Open Sans" w:cs="Open Sans" w:eastAsia="Open Sans" w:hAnsi="Open Sans"/>
                <w:color w:val="59595B"/>
                <w:sz w:val="14"/>
                <w:szCs w:val="14"/>
              </w:rPr>
              <w:t xml:space="preserve">HTTPS intake</w:t>
            </w:r>
          </w:p>
        </w:tc>
        <w:tc>
          <w:tcPr>
            <w:tcW w:type="dxa" w:w="360"/>
            <w:tcBorders>
              <w:top w:val="none"/>
              <w:left w:val="none"/>
              <w:bottom w:val="none"/>
              <w:right w:val="none"/>
            </w:tcBorders>
            <w:vAlign w:val="center"/>
          </w:tcPr>
          <w:p>
            <w:pPr>
              <w:jc w:val="center"/>
            </w:pPr>
            <w:r>
              <w:rPr>
                <w:rFonts w:ascii="Open Sans" w:cs="Open Sans" w:eastAsia="Open Sans" w:hAnsi="Open Sans"/>
                <w:b/>
                <w:bCs/>
                <w:color w:val="F67D4B"/>
                <w:sz w:val="28"/>
                <w:szCs w:val="28"/>
              </w:rPr>
              <w:t xml:space="preserve">→</w:t>
            </w:r>
          </w:p>
        </w:tc>
        <w:tc>
          <w:tcPr>
            <w:tcW w:type="dxa" w:w="2070"/>
            <w:tcBorders>
              <w:top w:val="single" w:color="F67D4B" w:sz="2"/>
              <w:left w:val="single" w:color="F67D4B" w:sz="2"/>
              <w:bottom w:val="single" w:color="F67D4B" w:sz="2"/>
              <w:right w:val="single" w:color="F67D4B" w:sz="2"/>
            </w:tcBorders>
            <w:shd w:fill="F8F9FA" w:val="clear"/>
            <w:tcMar>
              <w:top w:type="dxa" w:w="120"/>
              <w:left w:type="dxa" w:w="80"/>
              <w:bottom w:type="dxa" w:w="120"/>
              <w:right w:type="dxa" w:w="80"/>
            </w:tcMar>
            <w:vAlign w:val="center"/>
          </w:tcPr>
          <w:p>
            <w:pPr>
              <w:spacing w:after="30"/>
              <w:jc w:val="center"/>
            </w:pPr>
            <w:r>
              <w:rPr>
                <w:rFonts w:ascii="Open Sans" w:cs="Open Sans" w:eastAsia="Open Sans" w:hAnsi="Open Sans"/>
                <w:b/>
                <w:bCs/>
                <w:color w:val="F67D4B"/>
                <w:sz w:val="18"/>
                <w:szCs w:val="18"/>
              </w:rPr>
              <w:t xml:space="preserve">SQL Expert + tiers</w:t>
            </w:r>
          </w:p>
          <w:p>
            <w:pPr>
              <w:jc w:val="center"/>
            </w:pPr>
            <w:r>
              <w:rPr>
                <w:rFonts w:ascii="Open Sans" w:cs="Open Sans" w:eastAsia="Open Sans" w:hAnsi="Open Sans"/>
                <w:color w:val="59595B"/>
                <w:sz w:val="14"/>
                <w:szCs w:val="14"/>
              </w:rPr>
              <w:t xml:space="preserve">central analysis</w:t>
            </w:r>
          </w:p>
        </w:tc>
        <w:tc>
          <w:tcPr>
            <w:tcW w:type="dxa" w:w="360"/>
            <w:tcBorders>
              <w:top w:val="none"/>
              <w:left w:val="none"/>
              <w:bottom w:val="none"/>
              <w:right w:val="none"/>
            </w:tcBorders>
            <w:vAlign w:val="center"/>
          </w:tcPr>
          <w:p>
            <w:pPr>
              <w:jc w:val="center"/>
            </w:pPr>
            <w:r>
              <w:rPr>
                <w:rFonts w:ascii="Open Sans" w:cs="Open Sans" w:eastAsia="Open Sans" w:hAnsi="Open Sans"/>
                <w:b/>
                <w:bCs/>
                <w:color w:val="F67D4B"/>
                <w:sz w:val="28"/>
                <w:szCs w:val="28"/>
              </w:rPr>
              <w:t xml:space="preserve">→</w:t>
            </w:r>
          </w:p>
        </w:tc>
        <w:tc>
          <w:tcPr>
            <w:tcW w:type="dxa" w:w="2070"/>
            <w:tcBorders>
              <w:top w:val="single" w:color="1A1A2E" w:sz="2"/>
              <w:left w:val="single" w:color="1A1A2E" w:sz="2"/>
              <w:bottom w:val="single" w:color="1A1A2E" w:sz="2"/>
              <w:right w:val="single" w:color="1A1A2E" w:sz="2"/>
            </w:tcBorders>
            <w:shd w:fill="F8F9FA" w:val="clear"/>
            <w:tcMar>
              <w:top w:type="dxa" w:w="120"/>
              <w:left w:type="dxa" w:w="80"/>
              <w:bottom w:type="dxa" w:w="120"/>
              <w:right w:type="dxa" w:w="80"/>
            </w:tcMar>
            <w:vAlign w:val="center"/>
          </w:tcPr>
          <w:p>
            <w:pPr>
              <w:spacing w:after="30"/>
              <w:jc w:val="center"/>
            </w:pPr>
            <w:r>
              <w:rPr>
                <w:rFonts w:ascii="Open Sans" w:cs="Open Sans" w:eastAsia="Open Sans" w:hAnsi="Open Sans"/>
                <w:b/>
                <w:bCs/>
                <w:color w:val="1A1A2E"/>
                <w:sz w:val="18"/>
                <w:szCs w:val="18"/>
              </w:rPr>
              <w:t xml:space="preserve">CP + Teams</w:t>
            </w:r>
          </w:p>
          <w:p>
            <w:pPr>
              <w:jc w:val="center"/>
            </w:pPr>
            <w:r>
              <w:rPr>
                <w:rFonts w:ascii="Open Sans" w:cs="Open Sans" w:eastAsia="Open Sans" w:hAnsi="Open Sans"/>
                <w:color w:val="59595B"/>
                <w:sz w:val="14"/>
                <w:szCs w:val="14"/>
              </w:rPr>
              <w:t xml:space="preserve">tickets + alerts</w:t>
            </w:r>
          </w:p>
        </w:tc>
      </w:tr>
    </w:tbl>
    <w:p>
      <w:pPr>
        <w:spacing w:before="200"/>
      </w:pPr>
    </w:p>
    <w:p>
      <w:pPr>
        <w:pStyle w:val="Heading2"/>
        <w:spacing w:after="120" w:before="260"/>
      </w:pPr>
      <w:r>
        <w:rPr>
          <w:rFonts w:ascii="Open Sans" w:cs="Open Sans" w:eastAsia="Open Sans" w:hAnsi="Open Sans"/>
          <w:b/>
          <w:bCs/>
          <w:color w:val="1A1A2E"/>
          <w:sz w:val="26"/>
          <w:szCs w:val="26"/>
        </w:rPr>
        <w:t xml:space="preserve">MS SQL Server expert agent</w:t>
      </w:r>
    </w:p>
    <w:p>
      <w:pPr>
        <w:spacing w:after="120" w:before="0"/>
      </w:pPr>
      <w:r>
        <w:rPr>
          <w:rFonts w:ascii="Open Sans" w:cs="Open Sans" w:eastAsia="Open Sans" w:hAnsi="Open Sans"/>
          <w:color w:val="59595B"/>
          <w:sz w:val="22"/>
          <w:szCs w:val="22"/>
        </w:rPr>
        <w:t xml:space="preserve">The SQL intelligence runs centrally and reasons as a senior SQL Server professional across three personas. It alerts on BOTH errors and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Persona</w:t>
            </w:r>
          </w:p>
        </w:tc>
        <w:tc>
          <w:tcPr>
            <w:tcW w:type="dxa" w:w="676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Focus</w:t>
            </w:r>
          </w:p>
        </w:tc>
      </w:tr>
      <w:tr>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Expert DBA</w:t>
            </w:r>
          </w:p>
        </w:tc>
        <w:tc>
          <w:tcPr>
            <w:tcW w:type="dxa" w:w="6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HA/DR (Always On AG, log shipping, backup/restore, RPO/RTO), integrity (DBCC, 823/824/825), security, tempdb, configuration</w:t>
            </w:r>
          </w:p>
        </w:tc>
      </w:tr>
      <w:tr>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Expert SQL Programmer</w:t>
            </w:r>
          </w:p>
        </w:tc>
        <w:tc>
          <w:tcPr>
            <w:tcW w:type="dxa" w:w="6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T-SQL and stored-procedure correctness, error-log triage, deadlock root-cause, job-failure diagnosis</w:t>
            </w:r>
          </w:p>
        </w:tc>
      </w:tr>
      <w:tr>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Expert SQL Optimizer</w:t>
            </w:r>
          </w:p>
        </w:tc>
        <w:tc>
          <w:tcPr>
            <w:tcW w:type="dxa" w:w="6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Execution plans, missing/unused/duplicate indexes, fragmentation, statistics, wait-stats, Query Store regressions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6060"/>
      </w:tblGrid>
      <w:tr>
        <w:trPr>
          <w:tblHeader/>
        </w:trPr>
        <w:tc>
          <w:tcPr>
            <w:tcW w:type="dxa" w:w="17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Function</w:t>
            </w:r>
          </w:p>
        </w:tc>
        <w:tc>
          <w:tcPr>
            <w:tcW w:type="dxa" w:w="16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Cadence</w:t>
            </w:r>
          </w:p>
        </w:tc>
        <w:tc>
          <w:tcPr>
            <w:tcW w:type="dxa" w:w="606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What it does</w:t>
            </w:r>
          </w:p>
        </w:tc>
      </w:tr>
      <w:tr>
        <w:tc>
          <w:tcPr>
            <w:tcW w:type="dxa" w:w="1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Alert</w:t>
            </w:r>
          </w:p>
        </w:tc>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5–15 min</w:t>
            </w:r>
          </w:p>
        </w:tc>
        <w:tc>
          <w:tcPr>
            <w:tcW w:type="dxa" w:w="60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Errors (severity ≥17, 823/824/825, deadlocks, job/backup failure, AG not-synchronizing, log full) and performance (CPU pressure, PLE collapse, blocking, long queries, tempdb, disk latency) → P1/P2 ticket</w:t>
            </w:r>
          </w:p>
        </w:tc>
      </w:tr>
      <w:tr>
        <w:tc>
          <w:tcPr>
            <w:tcW w:type="dxa" w:w="1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Activity</w:t>
            </w:r>
          </w:p>
        </w:tc>
        <w:tc>
          <w:tcPr>
            <w:tcW w:type="dxa" w:w="1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Daily</w:t>
            </w:r>
          </w:p>
        </w:tc>
        <w:tc>
          <w:tcPr>
            <w:tcW w:type="dxa" w:w="60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Per-server posture roll-up: top waits, index health, backup/DR status, growth, error trend</w:t>
            </w:r>
          </w:p>
        </w:tc>
      </w:tr>
      <w:tr>
        <w:tc>
          <w:tcPr>
            <w:tcW w:type="dxa" w:w="1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Diagnose</w:t>
            </w:r>
          </w:p>
        </w:tc>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Daily + on alert</w:t>
            </w:r>
          </w:p>
        </w:tc>
        <w:tc>
          <w:tcPr>
            <w:tcW w:type="dxa" w:w="60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LLM expert analysis → root cause + recommended fix (index DDL, statistics, config, query rewrite)</w:t>
            </w:r>
          </w:p>
        </w:tc>
      </w:tr>
      <w:tr>
        <w:tc>
          <w:tcPr>
            <w:tcW w:type="dxa" w:w="1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Remediate</w:t>
            </w:r>
          </w:p>
        </w:tc>
        <w:tc>
          <w:tcPr>
            <w:tcW w:type="dxa" w:w="1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Gated</w:t>
            </w:r>
          </w:p>
        </w:tc>
        <w:tc>
          <w:tcPr>
            <w:tcW w:type="dxa" w:w="60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Proposes exact T-SQL with rollback; applies only after 7-day clean-trace graduation + explicit approval</w:t>
            </w:r>
          </w:p>
        </w:tc>
      </w:tr>
    </w:tbl>
    <w:p>
      <w:pPr>
        <w:spacing w:after="160" w:before="140"/>
      </w:pPr>
      <w:r>
        <w:rPr>
          <w:rFonts w:ascii="Open Sans" w:cs="Open Sans" w:eastAsia="Open Sans" w:hAnsi="Open Sans"/>
          <w:color w:val="59595B"/>
          <w:sz w:val="22"/>
          <w:szCs w:val="22"/>
        </w:rPr>
        <w:t xml:space="preserve">Architecture (locked): outbound-only HTTPS, Windows Service via MSI, central SQL expert intelligence (the agent ships signals; the LLM analysis runs in the 4-tier harness). Full detail is in the companion document, “Jian Remote Agent — System Specification.”</w:t>
      </w:r>
    </w:p>
    <w:p>
      <w:pPr>
        <w:spacing w:before="160"/>
      </w:pPr>
    </w:p>
    <w:p>
      <w:pPr>
        <w:pStyle w:val="Heading2"/>
        <w:spacing w:after="120" w:before="260"/>
      </w:pPr>
      <w:r>
        <w:rPr>
          <w:rFonts w:ascii="Open Sans" w:cs="Open Sans" w:eastAsia="Open Sans" w:hAnsi="Open Sans"/>
          <w:b/>
          <w:bCs/>
          <w:color w:val="1A1A2E"/>
          <w:sz w:val="26"/>
          <w:szCs w:val="26"/>
        </w:rPr>
        <w:t xml:space="preserve">Expert agent catalog (2026-05 expansion)</w:t>
      </w:r>
    </w:p>
    <w:p>
      <w:pPr>
        <w:spacing w:after="120" w:before="0"/>
      </w:pPr>
      <w:r>
        <w:rPr>
          <w:rFonts w:ascii="Open Sans" w:cs="Open Sans" w:eastAsia="Open Sans" w:hAnsi="Open Sans"/>
          <w:color w:val="59595B"/>
          <w:sz w:val="22"/>
          <w:szCs w:val="22"/>
        </w:rPr>
        <w:t xml:space="preserve">The same expert-persona pattern now spans infrastructure, endpoints, network devices, and cloud — each a senior specialist that alerts on errors and performance, opens tickets, and (gated) proposes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Domain</w:t>
            </w:r>
          </w:p>
        </w:tc>
        <w:tc>
          <w:tcPr>
            <w:tcW w:type="dxa" w:w="666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19"/>
                <w:szCs w:val="19"/>
              </w:rPr>
              <w:t xml:space="preserve">Expert agents</w:t>
            </w:r>
          </w:p>
        </w:tc>
      </w:tr>
      <w:tr>
        <w:tc>
          <w:tcPr>
            <w:tcW w:type="dxa" w:w="2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Databases</w:t>
            </w:r>
          </w:p>
        </w:tc>
        <w:tc>
          <w:tcPr>
            <w:tcW w:type="dxa" w:w="66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MS SQL Server (DBA / SQL Programmer / SQL Optimizer)</w:t>
            </w:r>
          </w:p>
        </w:tc>
      </w:tr>
      <w:tr>
        <w:tc>
          <w:tcPr>
            <w:tcW w:type="dxa" w:w="2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Operating systems</w:t>
            </w:r>
          </w:p>
        </w:tc>
        <w:tc>
          <w:tcPr>
            <w:tcW w:type="dxa" w:w="66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Windows, Windows Server (AD/DNS/DHCP/IIS/Hyper-V), Apple macOS, Linux (RHEL/Rocky/Alma/Ubuntu/Debian/SUSE)</w:t>
            </w:r>
          </w:p>
        </w:tc>
      </w:tr>
      <w:tr>
        <w:tc>
          <w:tcPr>
            <w:tcW w:type="dxa" w:w="2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Network devices</w:t>
            </w:r>
          </w:p>
        </w:tc>
        <w:tc>
          <w:tcPr>
            <w:tcW w:type="dxa" w:w="66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Switches, WiFi APs, VOIP phones, UPS, printers — fed by LAN discovery + device syslog</w:t>
            </w:r>
          </w:p>
        </w:tc>
      </w:tr>
      <w:tr>
        <w:tc>
          <w:tcPr>
            <w:tcW w:type="dxa" w:w="27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Cloud</w:t>
            </w:r>
          </w:p>
        </w:tc>
        <w:tc>
          <w:tcPr>
            <w:tcW w:type="dxa" w:w="66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AWS (Cloud Architect / FinOps / Security) via AWS MCP servers; Azure &amp; GCP next</w:t>
            </w:r>
          </w:p>
        </w:tc>
      </w:tr>
      <w:tr>
        <w:tc>
          <w:tcPr>
            <w:tcW w:type="dxa" w:w="27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Microsoft 365 (extended)</w:t>
            </w:r>
          </w:p>
        </w:tc>
        <w:tc>
          <w:tcPr>
            <w:tcW w:type="dxa" w:w="66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Open Sans" w:cs="Open Sans" w:eastAsia="Open Sans" w:hAnsi="Open Sans"/>
                <w:b w:val="false"/>
                <w:bCs w:val="false"/>
                <w:color w:val="59595B"/>
                <w:sz w:val="19"/>
                <w:szCs w:val="19"/>
              </w:rPr>
              <w:t xml:space="preserve">Intune, Purview/DLP, Exchange mail-flow, Defender XDR, Entra ID Protection, license optimization</w:t>
            </w:r>
          </w:p>
        </w:tc>
      </w:tr>
    </w:tbl>
    <w:p>
      <w:pPr>
        <w:spacing w:after="160" w:before="120"/>
      </w:pPr>
      <w:r>
        <w:rPr>
          <w:rFonts w:ascii="Open Sans" w:cs="Open Sans" w:eastAsia="Open Sans" w:hAnsi="Open Sans"/>
          <w:color w:val="59595B"/>
          <w:sz w:val="22"/>
          <w:szCs w:val="22"/>
        </w:rPr>
        <w:t xml:space="preserve">Network devices are discovered by the remote agent (ICMP + ARP + SNMP + LLDP); Jian then plans and (gated) applies syslog provisioning so each device streams to syslog.technijian.com, and the device-class experts monitor from both SNMP polling and that syslog stream.</w:t>
      </w:r>
    </w:p>
    <w:p>
      <w:pPr>
        <w:spacing w:before="160"/>
      </w:pPr>
    </w:p>
    <w:tbl>
      <w:tblPr>
        <w:tblW w:type="dxa" w:w="9360"/>
        <w:tblBorders>
          <w:top w:val="none"/>
          <w:left w:val="none"/>
          <w:bottom w:val="none"/>
          <w:right w:val="none"/>
          <w:insideH w:val="none"/>
          <w:insideV w:val="none"/>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100"/>
              <w:left w:type="dxa" w:w="200"/>
              <w:bottom w:type="dxa" w:w="100"/>
              <w:right w:type="dxa" w:w="0"/>
            </w:tcMar>
          </w:tcPr>
          <w:p>
            <w:pPr>
              <w:pStyle w:val="Heading1"/>
            </w:pPr>
            <w:r>
              <w:rPr>
                <w:rFonts w:ascii="Open Sans" w:cs="Open Sans" w:eastAsia="Open Sans" w:hAnsi="Open Sans"/>
                <w:b/>
                <w:bCs/>
                <w:color w:val="006DB6"/>
                <w:sz w:val="32"/>
                <w:szCs w:val="32"/>
              </w:rPr>
              <w:t xml:space="preserve">About Technijian</w:t>
            </w:r>
          </w:p>
        </w:tc>
      </w:tr>
    </w:tbl>
    <w:p>
      <w:pPr>
        <w:spacing w:after="200" w:before="160"/>
      </w:pPr>
      <w:r>
        <w:rPr>
          <w:rFonts w:ascii="Open Sans" w:cs="Open Sans" w:eastAsia="Open Sans" w:hAnsi="Open Sans"/>
          <w:color w:val="59595B"/>
          <w:sz w:val="22"/>
          <w:szCs w:val="22"/>
        </w:rPr>
        <w:t xml:space="preserve">Founded in 2000 by Ravi Jain, Technijian delivers managed IT services, cybersecurity, cloud solutions, compliance support, and AI-driven development for small and mid-sized businesses. With offices in Irvine, California and Panchkula, India, the dedicated Technijians pod model provides 24×7 support from a team that knows each client’s infrastructure. Jian is the practical expression of that AI-forward approach — technology as a solution.</w:t>
      </w:r>
    </w:p>
    <w:p>
      <w:pPr>
        <w:pStyle w:val="Heading1"/>
      </w:pPr>
      <w:r>
        <w:rPr>
          <w:b/>
          <w:color w:val="1F4E79"/>
          <w:sz w:val="32"/>
        </w:rPr>
        <w:t>Pricing &amp; Packaging (V3.1 — Hybrid, 40%-of-Name-Brand, Confusion-Reduced)</w:t>
      </w:r>
    </w:p>
    <w:p>
      <w:r>
        <w:rPr>
          <w:rFonts w:ascii="Calibri" w:hAnsi="Calibri"/>
          <w:sz w:val="20"/>
        </w:rPr>
        <w:t>Brand promise: 40% of name-brand price. Same protection. One platform. This mirrors the Technijian private-cloud pricing playbook against AWS and Azure. Every Jian line item is anchored at approximately 40% (or less) of the equivalent name-brand competitor price, so every comparison is winnable on the brochure. Pricing covers the V1 capability set described earlier in this document. Auto-Remediation, Jian Voice, and Jian Remote Agent are V2 and priced separately when they ship.</w:t>
      </w:r>
    </w:p>
    <w:p>
      <w:pPr>
        <w:pStyle w:val="Heading2"/>
      </w:pPr>
      <w:r>
        <w:rPr>
          <w:b/>
          <w:color w:val="2E75B6"/>
          <w:sz w:val="26"/>
        </w:rPr>
        <w:t>Pricing model — hybrid (per-user + per-resource)</w:t>
      </w:r>
    </w:p>
    <w:p>
      <w:r>
        <w:rPr>
          <w:rFonts w:ascii="Calibri" w:hAnsi="Calibri"/>
          <w:sz w:val="20"/>
        </w:rPr>
        <w:t>Two pricing axes. Per-user prices the people layer (M365 monitoring, @Jian Teams Self-Service bot, compliance evidence). Per-resource prices the infrastructure layer (per firewall, per Meraki organization, per backup environment, per vCenter, etc.). This mirrors how clients already buy IT services (Sophos per-firewall plus per-endpoint, Microsoft per-user, Veeam per-VM) — familiar buyer mental model means lower sales friction.</w:t>
      </w:r>
    </w:p>
    <w:p>
      <w:pPr>
        <w:pStyle w:val="Heading2"/>
      </w:pPr>
      <w:r>
        <w:rPr>
          <w:b/>
          <w:color w:val="2E75B6"/>
          <w:sz w:val="26"/>
        </w:rPr>
        <w:t>Per-user pricing — Jian for M365 (two parallel tiers)</w:t>
      </w:r>
    </w:p>
    <w:p>
      <w:r>
        <w:rPr>
          <w:rFonts w:ascii="Calibri" w:hAnsi="Calibri"/>
          <w:sz w:val="20"/>
        </w:rPr>
      </w:r>
    </w:p>
    <w:p>
      <w:r>
        <w:rPr>
          <w:rFonts w:ascii="Calibri" w:hAnsi="Calibri"/>
          <w:sz w:val="20"/>
        </w:rPr>
        <w:t>Minimum: 25 seats on Standard ($225/mo floor). Why parallel tiers (not 'upgrade'): two prices on the page is cleaner than '+$15 add-on.' Standard is fully featured; Compliance Pro is for clients who need additional regulatory scope and white-glove service.</w:t>
      </w:r>
    </w:p>
    <w:p>
      <w:pPr>
        <w:pStyle w:val="Heading2"/>
      </w:pPr>
      <w:r>
        <w:rPr>
          <w:b/>
          <w:color w:val="2E75B6"/>
          <w:sz w:val="26"/>
        </w:rPr>
        <w:t>Bot-only SKU — Jian Teams Bot Only</w:t>
      </w:r>
    </w:p>
    <w:p>
      <w:r>
        <w:rPr>
          <w:rFonts w:ascii="Calibri" w:hAnsi="Calibri"/>
          <w:sz w:val="20"/>
        </w:rPr>
      </w:r>
    </w:p>
    <w:p>
      <w:r>
        <w:rPr>
          <w:rFonts w:ascii="Calibri" w:hAnsi="Calibri"/>
          <w:sz w:val="20"/>
        </w:rPr>
        <w:t>Replaces the V1 $49/mo IT Self-Service Agent for new buyers (existing $49 customers are grandfathered for a defined grandfathering period — see Grandfathering section).</w:t>
      </w:r>
    </w:p>
    <w:p>
      <w:pPr>
        <w:pStyle w:val="Heading2"/>
      </w:pPr>
      <w:r>
        <w:rPr>
          <w:b/>
          <w:color w:val="2E75B6"/>
          <w:sz w:val="26"/>
        </w:rPr>
        <w:t>Per-resource pricing — Jian for [Infrastructure]</w:t>
      </w:r>
    </w:p>
    <w:p>
      <w:r>
        <w:rPr>
          <w:rFonts w:ascii="Calibri" w:hAnsi="Calibri"/>
          <w:sz w:val="20"/>
        </w:rPr>
      </w:r>
    </w:p>
    <w:p>
      <w:r>
        <w:rPr>
          <w:rFonts w:ascii="Calibri" w:hAnsi="Calibri"/>
          <w:sz w:val="20"/>
        </w:rPr>
        <w:t>Backup vendor agnosticism is a distinct selling point. Jian for Backup covers Veeam (VBR + 365 + ONE) AND NAKIVO at the same per-environment price. Liongard does not cover NAKIVO. Veeam ONE Reporter only covers Veeam. Jian bridges any mix at one rate and one branded monthly report format.</w:t>
      </w:r>
    </w:p>
    <w:p>
      <w:pPr>
        <w:pStyle w:val="Heading2"/>
      </w:pPr>
      <w:r>
        <w:rPr>
          <w:b/>
          <w:color w:val="2E75B6"/>
          <w:sz w:val="26"/>
        </w:rPr>
        <w:t>Starter Bundles (flat-price alternative to itemized)</w:t>
      </w:r>
    </w:p>
    <w:p>
      <w:r>
        <w:rPr>
          <w:rFonts w:ascii="Calibri" w:hAnsi="Calibri"/>
          <w:sz w:val="20"/>
        </w:rPr>
      </w:r>
    </w:p>
    <w:p>
      <w:r>
        <w:rPr>
          <w:rFonts w:ascii="Calibri" w:hAnsi="Calibri"/>
          <w:sz w:val="20"/>
        </w:rPr>
        <w:t>Bundles are an alternative path for the buyer who wants one number, not a replacement of line-item pricing. Sales rep offers either: 'You can quote line-by-line, or we have these three bundles.' Most SMB buyers will choose the bundle that fits.</w:t>
      </w:r>
    </w:p>
    <w:p>
      <w:pPr>
        <w:pStyle w:val="Heading2"/>
      </w:pPr>
      <w:r>
        <w:rPr>
          <w:b/>
          <w:color w:val="2E75B6"/>
          <w:sz w:val="26"/>
        </w:rPr>
        <w:t>Discounts — simplified to two mechanics (stack multiplicatively)</w:t>
      </w:r>
    </w:p>
    <w:p>
      <w:r>
        <w:rPr>
          <w:rFonts w:ascii="Calibri" w:hAnsi="Calibri"/>
          <w:sz w:val="20"/>
        </w:rPr>
      </w:r>
    </w:p>
    <w:p>
      <w:r>
        <w:rPr>
          <w:rFonts w:ascii="Calibri" w:hAnsi="Calibri"/>
          <w:sz w:val="20"/>
        </w:rPr>
        <w:t>Worked example: a $5,000/mo client annually prepaid pays $5,000 × 0.85 (15% volume) × 0.83 (17% annual) = $3,528/mo effective. CFO can verify in 10 seconds. V3.1 dropped the 4+ service bundle (value folded into list prices) and collapsed MSP-volume + seat-volume into one volume tier based on monthly invoice — cleaner math.</w:t>
      </w:r>
    </w:p>
    <w:p>
      <w:pPr>
        <w:pStyle w:val="Heading2"/>
      </w:pPr>
      <w:r>
        <w:rPr>
          <w:b/>
          <w:color w:val="2E75B6"/>
          <w:sz w:val="26"/>
        </w:rPr>
        <w:t>Resource definitions (glossary — pre-empts billing disputes)</w:t>
      </w:r>
    </w:p>
    <w:p>
      <w:r>
        <w:rPr>
          <w:rFonts w:ascii="Calibri" w:hAnsi="Calibri"/>
          <w:sz w:val="20"/>
        </w:rPr>
      </w:r>
    </w:p>
    <w:p>
      <w:pPr>
        <w:pStyle w:val="Heading2"/>
      </w:pPr>
      <w:r>
        <w:rPr>
          <w:b/>
          <w:color w:val="2E75B6"/>
          <w:sz w:val="26"/>
        </w:rPr>
        <w:t>Backup line exception (transparent)</w:t>
      </w:r>
    </w:p>
    <w:p>
      <w:r>
        <w:rPr>
          <w:rFonts w:ascii="Calibri" w:hAnsi="Calibri"/>
          <w:sz w:val="20"/>
        </w:rPr>
        <w:t>Jian for Backup at $59 vs. Liongard at $50–$100 = 59–118 percent of comp — the one line that breaks our 40 percent promise. We hold $59 because: (1) Liongard is already a discount product; pricing Jian at 40 percent of Liongard would be below cost-to-serve, (2) NAKIVO support is unique — Liongard doesn't cover NAKIVO, Veeam ONE Reporter only covers Veeam, Jian bridges both at one rate, (3) we win on integration with the rest of Jian, not on raw price. This exception is stated explicitly so a procurement audit doesn't catch us being inconsistent.</w:t>
      </w:r>
    </w:p>
    <w:p>
      <w:pPr>
        <w:pStyle w:val="Heading2"/>
      </w:pPr>
      <w:r>
        <w:rPr>
          <w:b/>
          <w:color w:val="2E75B6"/>
          <w:sz w:val="26"/>
        </w:rPr>
        <w:t>Grandfathering and legacy SKUs</w:t>
      </w:r>
    </w:p>
    <w:p>
      <w:r>
        <w:rPr>
          <w:rFonts w:ascii="Calibri" w:hAnsi="Calibri"/>
          <w:sz w:val="20"/>
        </w:rPr>
        <w:t>Existing $49/month IT Self-Service Agent customers stay at $49 for the original bot-only feature set for a defined grandfathering period from V3 launch. Any upgrade to platform monitoring (Jian for M365 Core or any per-resource service) moves them to V3 pricing for that scope.</w:t>
      </w:r>
    </w:p>
    <w:p>
      <w:r>
        <w:rPr>
          <w:rFonts w:ascii="Calibri" w:hAnsi="Calibri"/>
          <w:sz w:val="20"/>
        </w:rPr>
        <w:t>Standalone report SKUs (My M365 Report $15–$129/tenant, My Meraki Report $150/org, My Sophos Report $99/$199/$299/tenant) remain available for buyers who want a single report and never the platform. Platform subscribers get equivalent reports auto-included.</w:t>
      </w:r>
    </w:p>
    <w:p>
      <w:pPr>
        <w:pStyle w:val="Heading2"/>
      </w:pPr>
      <w:r>
        <w:rPr>
          <w:b/>
          <w:color w:val="2E75B6"/>
          <w:sz w:val="26"/>
        </w:rPr>
        <w:t>Worked examples — three client profiles</w:t>
      </w:r>
    </w:p>
    <w:p>
      <w:r>
        <w:rPr>
          <w:rFonts w:ascii="Calibri" w:hAnsi="Calibri"/>
          <w:sz w:val="20"/>
        </w:rPr>
      </w:r>
    </w:p>
    <w:p>
      <w:pPr>
        <w:pStyle w:val="Heading2"/>
      </w:pPr>
      <w:r>
        <w:rPr>
          <w:b/>
          <w:color w:val="2E75B6"/>
          <w:sz w:val="26"/>
        </w:rPr>
        <w:t>Labor displacement — IT support hours reduced (V1 proactive only)</w:t>
      </w:r>
    </w:p>
    <w:p>
      <w:r>
        <w:rPr>
          <w:rFonts w:ascii="Calibri" w:hAnsi="Calibri"/>
          <w:sz w:val="20"/>
        </w:rPr>
        <w:t>V1 monitors, classifies, correlates, opens tickets, routes them, and produces branded monthly reports. It does NOT auto-fix (remediation is V2). The labor savings below come entirely from proactive detection and triage — not machine-executed repair.</w:t>
      </w:r>
    </w:p>
    <w:p>
      <w:r>
        <w:rPr>
          <w:rFonts w:ascii="Calibri" w:hAnsi="Calibri"/>
          <w:sz w:val="20"/>
        </w:rPr>
      </w:r>
    </w:p>
    <w:p>
      <w:r>
        <w:rPr>
          <w:rFonts w:ascii="Calibri" w:hAnsi="Calibri"/>
          <w:sz w:val="20"/>
        </w:rPr>
        <w:t>Net reduction in proactive IT support hours: roughly 45 percent at the Enterprise upgrade tier (the headline number). Driven by seven labor sinks Jian removes: Tier-1 alert triage across 5+ monitoring tools (5–15 hours), cross-platform incident correlation (1.5–6 hours), compliance evidence collection (2–6 hours), monthly client report assembly (6–18 hours), M365 service-health user triage (0.5–3 hours), Teams/CP channel coordination (0.5–1.5 hours), shift-handover friction (0.5–1.5 hours). Total typical: 16–51 hours per client per month.</w:t>
      </w:r>
    </w:p>
    <w:p>
      <w:pPr>
        <w:pStyle w:val="Heading2"/>
      </w:pPr>
      <w:r>
        <w:rPr>
          <w:b/>
          <w:color w:val="2E75B6"/>
          <w:sz w:val="26"/>
        </w:rPr>
        <w:t>Cost-to-serve and margin discipline</w:t>
      </w:r>
    </w:p>
    <w:p>
      <w:r>
        <w:rPr>
          <w:rFonts w:ascii="Calibri" w:hAnsi="Calibri"/>
          <w:sz w:val="20"/>
        </w:rPr>
      </w:r>
    </w:p>
    <w:p>
      <w:r>
        <w:rPr>
          <w:rFonts w:ascii="Calibri" w:hAnsi="Calibri"/>
          <w:sz w:val="20"/>
        </w:rPr>
        <w:t>No single Jian line item sells below cost-to-serve at the 25-seat minimum. At year-3 projected mix (100+ clients), engineering maintenance drops below $100/client/month and blended gross margin reaches 85–92 percent — premium SaaS economics.</w:t>
      </w:r>
    </w:p>
    <w:p>
      <w:pPr>
        <w:pStyle w:val="Heading2"/>
      </w:pPr>
      <w:r>
        <w:rPr>
          <w:b/>
          <w:color w:val="2E75B6"/>
          <w:sz w:val="26"/>
        </w:rPr>
        <w:t>V2 upside (priced separately when shipped)</w:t>
      </w:r>
    </w:p>
    <w:p>
      <w:r>
        <w:rPr>
          <w:rFonts w:ascii="Calibri" w:hAnsi="Calibri"/>
          <w:sz w:val="20"/>
        </w:rPr>
      </w:r>
    </w:p>
    <w:p>
      <w:r>
        <w:rPr>
          <w:rFonts w:ascii="Calibri" w:hAnsi="Calibri"/>
          <w:sz w:val="20"/>
        </w:rPr>
        <w:t>These are pricing upside for the V2 conversation, not part of V1 justification. V2 SKU decisions are finalized at V2 production launch.</w:t>
      </w:r>
    </w:p>
    <w:tbl>
      <w:tblPr>
        <w:tblW w:type="auto" w:w="0"/>
        <w:jc w:val="center"/>
        <w:tblLook w:firstColumn="1" w:firstRow="1" w:lastColumn="0" w:lastRow="0" w:noHBand="0" w:noVBand="1" w:val="04A0"/>
      </w:tblPr>
      <w:tblGrid>
        <w:gridCol w:w="3120"/>
        <w:gridCol w:w="3120"/>
        <w:gridCol w:w="3120"/>
      </w:tblGrid>
      <w:tr>
        <w:tc>
          <w:tcPr>
            <w:tcW w:type="dxa" w:w="312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V2 capability</w:t>
            </w:r>
          </w:p>
        </w:tc>
        <w:tc>
          <w:tcPr>
            <w:tcW w:type="dxa" w:w="312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Additional hours saved/client/mo</w:t>
            </w:r>
          </w:p>
        </w:tc>
        <w:tc>
          <w:tcPr>
            <w:tcW w:type="dxa" w:w="312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Tentative pricing</w:t>
            </w:r>
          </w:p>
        </w:tc>
      </w:tr>
      <w:tr>
        <w:tc>
          <w:tcPr>
            <w:tcW w:type="dxa" w:w="312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Auto-remediation (gated; 7-day clean trace + per-op approval)</w:t>
            </w:r>
          </w:p>
        </w:tc>
        <w:tc>
          <w:tcPr>
            <w:tcW w:type="dxa" w:w="312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5–15</w:t>
            </w:r>
          </w:p>
        </w:tc>
        <w:tc>
          <w:tcPr>
            <w:tcW w:type="dxa" w:w="312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+$10/user or new top tier</w:t>
            </w:r>
          </w:p>
        </w:tc>
      </w:tr>
      <w:tr>
        <w:tc>
          <w:tcPr>
            <w:tcW w:type="dxa" w:w="312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Jian Voice — (949) 502-0074 inbound deflection</w:t>
            </w:r>
          </w:p>
        </w:tc>
        <w:tc>
          <w:tcPr>
            <w:tcW w:type="dxa" w:w="312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2–8</w:t>
            </w:r>
          </w:p>
        </w:tc>
        <w:tc>
          <w:tcPr>
            <w:tcW w:type="dxa" w:w="312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+$5/user/mo</w:t>
            </w:r>
          </w:p>
        </w:tc>
      </w:tr>
      <w:tr>
        <w:tc>
          <w:tcPr>
            <w:tcW w:type="dxa" w:w="312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Jian Remote Agent — OS / device / network / client-MSSQL data</w:t>
            </w:r>
          </w:p>
        </w:tc>
        <w:tc>
          <w:tcPr>
            <w:tcW w:type="dxa" w:w="312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3–10</w:t>
            </w:r>
          </w:p>
        </w:tc>
        <w:tc>
          <w:tcPr>
            <w:tcW w:type="dxa" w:w="312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$99/agent or +$3/endpoint</w:t>
            </w:r>
          </w:p>
        </w:tc>
      </w:tr>
    </w:tbl>
    <w:tbl>
      <w:tblPr>
        <w:tblW w:type="auto" w:w="0"/>
        <w:jc w:val="center"/>
        <w:tblLook w:firstColumn="1" w:firstRow="1" w:lastColumn="0" w:lastRow="0" w:noHBand="0" w:noVBand="1" w:val="04A0"/>
      </w:tblPr>
      <w:tblGrid>
        <w:gridCol w:w="4680"/>
        <w:gridCol w:w="4680"/>
      </w:tblGrid>
      <w:tr>
        <w:tc>
          <w:tcPr>
            <w:tcW w:type="dxa" w:w="468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Line</w:t>
            </w:r>
          </w:p>
        </w:tc>
        <w:tc>
          <w:tcPr>
            <w:tcW w:type="dxa" w:w="468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Per client per month</w:t>
            </w:r>
          </w:p>
        </w:tc>
      </w:tr>
      <w:tr>
        <w:tc>
          <w:tcPr>
            <w:tcW w:type="dxa" w:w="468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LLM (Gemini Flash primary; includes safety multiple)</w:t>
            </w:r>
          </w:p>
        </w:tc>
        <w:tc>
          <w:tcPr>
            <w:tcW w:type="dxa" w:w="468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$5</w:t>
            </w:r>
          </w:p>
        </w:tc>
      </w:tr>
      <w:tr>
        <w:tc>
          <w:tcPr>
            <w:tcW w:type="dxa" w:w="468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Infrastructure (SQL/n8n/IIS/LiteLLM/Azure App Service)</w:t>
            </w:r>
          </w:p>
        </w:tc>
        <w:tc>
          <w:tcPr>
            <w:tcW w:type="dxa" w:w="468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$7</w:t>
            </w:r>
          </w:p>
        </w:tc>
      </w:tr>
      <w:tr>
        <w:tc>
          <w:tcPr>
            <w:tcW w:type="dxa" w:w="468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Engineering maintenance (amortized; drops with scale)</w:t>
            </w:r>
          </w:p>
        </w:tc>
        <w:tc>
          <w:tcPr>
            <w:tcW w:type="dxa" w:w="468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$150–$300</w:t>
            </w:r>
          </w:p>
        </w:tc>
      </w:tr>
      <w:tr>
        <w:tc>
          <w:tcPr>
            <w:tcW w:type="dxa" w:w="468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Cost to serve (one client)</w:t>
            </w:r>
          </w:p>
        </w:tc>
        <w:tc>
          <w:tcPr>
            <w:tcW w:type="dxa" w:w="468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$165–$315/mo</w:t>
            </w:r>
          </w:p>
        </w:tc>
      </w:tr>
    </w:tbl>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Client profile</w:t>
            </w:r>
          </w:p>
        </w:tc>
        <w:tc>
          <w:tcPr>
            <w:tcW w:type="dxa" w:w="1872"/>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Manual baseline (hrs/mo)</w:t>
            </w:r>
          </w:p>
        </w:tc>
        <w:tc>
          <w:tcPr>
            <w:tcW w:type="dxa" w:w="1872"/>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With Jian (hrs/mo)</w:t>
            </w:r>
          </w:p>
        </w:tc>
        <w:tc>
          <w:tcPr>
            <w:tcW w:type="dxa" w:w="1872"/>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Hours saved (hrs/mo)</w:t>
            </w:r>
          </w:p>
        </w:tc>
        <w:tc>
          <w:tcPr>
            <w:tcW w:type="dxa" w:w="1872"/>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Value at $75–$100/hr</w:t>
            </w:r>
          </w:p>
        </w:tc>
      </w:tr>
      <w:tr>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Small (10–25 users)</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18–30</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4–8</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14–22</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$1,050–$2,200</w:t>
            </w:r>
          </w:p>
        </w:tc>
      </w:tr>
      <w:tr>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Medium (26–100 users)</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35–60</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8–15</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27–45</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$2,025–$4,500</w:t>
            </w:r>
          </w:p>
        </w:tc>
      </w:tr>
      <w:tr>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Large (101+ users)</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60–120</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15–30</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45–90</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$3,375–$9,000</w:t>
            </w:r>
          </w:p>
        </w:tc>
      </w:tr>
    </w:tbl>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Profile</w:t>
            </w:r>
          </w:p>
        </w:tc>
        <w:tc>
          <w:tcPr>
            <w:tcW w:type="dxa" w:w="156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Setup</w:t>
            </w:r>
          </w:p>
        </w:tc>
        <w:tc>
          <w:tcPr>
            <w:tcW w:type="dxa" w:w="156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Monthly</w:t>
            </w:r>
          </w:p>
        </w:tc>
        <w:tc>
          <w:tcPr>
            <w:tcW w:type="dxa" w:w="156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Annual prepay</w:t>
            </w:r>
          </w:p>
        </w:tc>
        <w:tc>
          <w:tcPr>
            <w:tcW w:type="dxa" w:w="156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Comp stack</w:t>
            </w:r>
          </w:p>
        </w:tc>
        <w:tc>
          <w:tcPr>
            <w:tcW w:type="dxa" w:w="156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 of Comp</w:t>
            </w:r>
          </w:p>
        </w:tc>
      </w:tr>
      <w:tr>
        <w:tc>
          <w:tcPr>
            <w:tcW w:type="dxa" w:w="156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Small SMB (20-user law firm, 1 site, 1 firewall, 1 backup)</w:t>
            </w:r>
          </w:p>
        </w:tc>
        <w:tc>
          <w:tcPr>
            <w:tcW w:type="dxa" w:w="156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Core (25-seat min) + 1 firewall + 1 backup</w:t>
            </w:r>
          </w:p>
        </w:tc>
        <w:tc>
          <w:tcPr>
            <w:tcW w:type="dxa" w:w="156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$383</w:t>
            </w:r>
          </w:p>
        </w:tc>
        <w:tc>
          <w:tcPr>
            <w:tcW w:type="dxa" w:w="156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$3,830</w:t>
            </w:r>
          </w:p>
        </w:tc>
        <w:tc>
          <w:tcPr>
            <w:tcW w:type="dxa" w:w="156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~$960</w:t>
            </w:r>
          </w:p>
        </w:tc>
        <w:tc>
          <w:tcPr>
            <w:tcW w:type="dxa" w:w="156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40%</w:t>
            </w:r>
          </w:p>
        </w:tc>
      </w:tr>
      <w:tr>
        <w:tc>
          <w:tcPr>
            <w:tcW w:type="dxa" w:w="156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Medium regulated (50-user dental group, HIPAA, 2 sites, 2 firewalls, 2 Meraki, 1 backup)</w:t>
            </w:r>
          </w:p>
        </w:tc>
        <w:tc>
          <w:tcPr>
            <w:tcW w:type="dxa" w:w="156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Enterprise (50 × $24) + 2 firewalls + 2 Meraki + 1 backup, –10% bundle</w:t>
            </w:r>
          </w:p>
        </w:tc>
        <w:tc>
          <w:tcPr>
            <w:tcW w:type="dxa" w:w="156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$1,453</w:t>
            </w:r>
          </w:p>
        </w:tc>
        <w:tc>
          <w:tcPr>
            <w:tcW w:type="dxa" w:w="156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$14,530</w:t>
            </w:r>
          </w:p>
        </w:tc>
        <w:tc>
          <w:tcPr>
            <w:tcW w:type="dxa" w:w="156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~$5,550</w:t>
            </w:r>
          </w:p>
        </w:tc>
        <w:tc>
          <w:tcPr>
            <w:tcW w:type="dxa" w:w="156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26%</w:t>
            </w:r>
          </w:p>
        </w:tc>
      </w:tr>
      <w:tr>
        <w:tc>
          <w:tcPr>
            <w:tcW w:type="dxa" w:w="156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Mid-market (250 users multi-site, 5 firewalls, 3 Meraki, 2 backups, regulated)</w:t>
            </w:r>
          </w:p>
        </w:tc>
        <w:tc>
          <w:tcPr>
            <w:tcW w:type="dxa" w:w="156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Enterprise (250 × $24) + 5 firewalls + 3 Meraki + 2 backups, –10% bundle, –15% seat-volume</w:t>
            </w:r>
          </w:p>
        </w:tc>
        <w:tc>
          <w:tcPr>
            <w:tcW w:type="dxa" w:w="156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$5,265</w:t>
            </w:r>
          </w:p>
        </w:tc>
        <w:tc>
          <w:tcPr>
            <w:tcW w:type="dxa" w:w="156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$52,650</w:t>
            </w:r>
          </w:p>
        </w:tc>
        <w:tc>
          <w:tcPr>
            <w:tcW w:type="dxa" w:w="156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~$28,350</w:t>
            </w:r>
          </w:p>
        </w:tc>
        <w:tc>
          <w:tcPr>
            <w:tcW w:type="dxa" w:w="156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19%</w:t>
            </w:r>
          </w:p>
        </w:tc>
      </w:tr>
    </w:tbl>
    <w:tbl>
      <w:tblPr>
        <w:tblW w:type="auto" w:w="0"/>
        <w:jc w:val="center"/>
        <w:tblLook w:firstColumn="1" w:firstRow="1" w:lastColumn="0" w:lastRow="0" w:noHBand="0" w:noVBand="1" w:val="04A0"/>
      </w:tblPr>
      <w:tblGrid>
        <w:gridCol w:w="4680"/>
        <w:gridCol w:w="4680"/>
      </w:tblGrid>
      <w:tr>
        <w:tc>
          <w:tcPr>
            <w:tcW w:type="dxa" w:w="468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Term</w:t>
            </w:r>
          </w:p>
        </w:tc>
        <w:tc>
          <w:tcPr>
            <w:tcW w:type="dxa" w:w="468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Definition</w:t>
            </w:r>
          </w:p>
        </w:tc>
      </w:tr>
      <w:tr>
        <w:tc>
          <w:tcPr>
            <w:tcW w:type="dxa" w:w="468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Firewall</w:t>
            </w:r>
          </w:p>
        </w:tc>
        <w:tc>
          <w:tcPr>
            <w:tcW w:type="dxa" w:w="468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One managed Sophos or Meraki firewall appliance. HA pair = 1 unit. Multi-WAN on one appliance = 1 unit.</w:t>
            </w:r>
          </w:p>
        </w:tc>
      </w:tr>
      <w:tr>
        <w:tc>
          <w:tcPr>
            <w:tcW w:type="dxa" w:w="468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Meraki organization</w:t>
            </w:r>
          </w:p>
        </w:tc>
        <w:tc>
          <w:tcPr>
            <w:tcW w:type="dxa" w:w="468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One Meraki dashboard organization, regardless of network or device count.</w:t>
            </w:r>
          </w:p>
        </w:tc>
      </w:tr>
      <w:tr>
        <w:tc>
          <w:tcPr>
            <w:tcW w:type="dxa" w:w="468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Backup environment</w:t>
            </w:r>
          </w:p>
        </w:tc>
        <w:tc>
          <w:tcPr>
            <w:tcW w:type="dxa" w:w="468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One Veeam VBR Server OR one Veeam 365 tenant OR one Veeam ONE Server OR one NAKIVO Director instance. Mix and match at $59 each.</w:t>
            </w:r>
          </w:p>
        </w:tc>
      </w:tr>
      <w:tr>
        <w:tc>
          <w:tcPr>
            <w:tcW w:type="dxa" w:w="468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Cloudflare zone</w:t>
            </w:r>
          </w:p>
        </w:tc>
        <w:tc>
          <w:tcPr>
            <w:tcW w:type="dxa" w:w="468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One apex domain (e.g., example.com). All subdomains included free.</w:t>
            </w:r>
          </w:p>
        </w:tc>
      </w:tr>
      <w:tr>
        <w:tc>
          <w:tcPr>
            <w:tcW w:type="dxa" w:w="468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vCenter</w:t>
            </w:r>
          </w:p>
        </w:tc>
        <w:tc>
          <w:tcPr>
            <w:tcW w:type="dxa" w:w="468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One vCenter Server instance. Enhanced Linked Mode counts as 1 per PSC.</w:t>
            </w:r>
          </w:p>
        </w:tc>
      </w:tr>
      <w:tr>
        <w:tc>
          <w:tcPr>
            <w:tcW w:type="dxa" w:w="468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Umbrella tenant</w:t>
            </w:r>
          </w:p>
        </w:tc>
        <w:tc>
          <w:tcPr>
            <w:tcW w:type="dxa" w:w="468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One Cisco Umbrella organization (child org under parent partner relationship).</w:t>
            </w:r>
          </w:p>
        </w:tc>
      </w:tr>
      <w:tr>
        <w:tc>
          <w:tcPr>
            <w:tcW w:type="dxa" w:w="468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Workstation</w:t>
            </w:r>
          </w:p>
        </w:tc>
        <w:tc>
          <w:tcPr>
            <w:tcW w:type="dxa" w:w="468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One desktop, laptop, or VDI session running an EDR agent.</w:t>
            </w:r>
          </w:p>
        </w:tc>
      </w:tr>
      <w:tr>
        <w:tc>
          <w:tcPr>
            <w:tcW w:type="dxa" w:w="468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Server</w:t>
            </w:r>
          </w:p>
        </w:tc>
        <w:tc>
          <w:tcPr>
            <w:tcW w:type="dxa" w:w="468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One server endpoint (physical or virtual) with an EDR agent.</w:t>
            </w:r>
          </w:p>
        </w:tc>
      </w:tr>
      <w:tr>
        <w:tc>
          <w:tcPr>
            <w:tcW w:type="dxa" w:w="468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Licensed user</w:t>
            </w:r>
          </w:p>
        </w:tc>
        <w:tc>
          <w:tcPr>
            <w:tcW w:type="dxa" w:w="468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One Microsoft 365 paid license (excludes shared mailboxes, room accounts, guests).</w:t>
            </w:r>
          </w:p>
        </w:tc>
      </w:tr>
    </w:tbl>
    <w:tbl>
      <w:tblPr>
        <w:tblW w:type="auto" w:w="0"/>
        <w:jc w:val="center"/>
        <w:tblLook w:firstColumn="1" w:firstRow="1" w:lastColumn="0" w:lastRow="0" w:noHBand="0" w:noVBand="1" w:val="04A0"/>
      </w:tblPr>
      <w:tblGrid>
        <w:gridCol w:w="3120"/>
        <w:gridCol w:w="3120"/>
        <w:gridCol w:w="3120"/>
      </w:tblGrid>
      <w:tr>
        <w:tc>
          <w:tcPr>
            <w:tcW w:type="dxa" w:w="312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Mechanic</w:t>
            </w:r>
          </w:p>
        </w:tc>
        <w:tc>
          <w:tcPr>
            <w:tcW w:type="dxa" w:w="312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Discount</w:t>
            </w:r>
          </w:p>
        </w:tc>
        <w:tc>
          <w:tcPr>
            <w:tcW w:type="dxa" w:w="312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Trigger</w:t>
            </w:r>
          </w:p>
        </w:tc>
      </w:tr>
      <w:tr>
        <w:tc>
          <w:tcPr>
            <w:tcW w:type="dxa" w:w="312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Annual prepay</w:t>
            </w:r>
          </w:p>
        </w:tc>
        <w:tc>
          <w:tcPr>
            <w:tcW w:type="dxa" w:w="312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17% off (2 months free)</w:t>
            </w:r>
          </w:p>
        </w:tc>
        <w:tc>
          <w:tcPr>
            <w:tcW w:type="dxa" w:w="312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Annual billing on any service, tier, or bundle</w:t>
            </w:r>
          </w:p>
        </w:tc>
      </w:tr>
      <w:tr>
        <w:tc>
          <w:tcPr>
            <w:tcW w:type="dxa" w:w="312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Volume tier</w:t>
            </w:r>
          </w:p>
        </w:tc>
        <w:tc>
          <w:tcPr>
            <w:tcW w:type="dxa" w:w="312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0% under $1k/mo; 10% $1k–$5k; 15% $5k–$15k; 20% $15k–$50k; 25% $50k+</w:t>
            </w:r>
          </w:p>
        </w:tc>
        <w:tc>
          <w:tcPr>
            <w:tcW w:type="dxa" w:w="312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Auto-applied based on total monthly invoice</w:t>
            </w:r>
          </w:p>
        </w:tc>
      </w:tr>
    </w:tbl>
    <w:tbl>
      <w:tblPr>
        <w:tblW w:type="auto" w:w="0"/>
        <w:jc w:val="center"/>
        <w:tblLook w:firstColumn="1" w:firstRow="1" w:lastColumn="0" w:lastRow="0" w:noHBand="0" w:noVBand="1" w:val="04A0"/>
      </w:tblPr>
      <w:tblGrid>
        <w:gridCol w:w="2340"/>
        <w:gridCol w:w="2340"/>
        <w:gridCol w:w="2340"/>
        <w:gridCol w:w="2340"/>
      </w:tblGrid>
      <w:tr>
        <w:tc>
          <w:tcPr>
            <w:tcW w:type="dxa" w:w="234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Bundle</w:t>
            </w:r>
          </w:p>
        </w:tc>
        <w:tc>
          <w:tcPr>
            <w:tcW w:type="dxa" w:w="234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Includes</w:t>
            </w:r>
          </w:p>
        </w:tc>
        <w:tc>
          <w:tcPr>
            <w:tcW w:type="dxa" w:w="234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Flat Price</w:t>
            </w:r>
          </w:p>
        </w:tc>
        <w:tc>
          <w:tcPr>
            <w:tcW w:type="dxa" w:w="234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vs. Itemized</w:t>
            </w:r>
          </w:p>
        </w:tc>
      </w:tr>
      <w:tr>
        <w:tc>
          <w:tcPr>
            <w:tcW w:type="dxa" w:w="234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Jian Starter</w:t>
            </w:r>
          </w:p>
        </w:tc>
        <w:tc>
          <w:tcPr>
            <w:tcW w:type="dxa" w:w="234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Standard 25 seats + 1 firewall + 1 backup</w:t>
            </w:r>
          </w:p>
        </w:tc>
        <w:tc>
          <w:tcPr>
            <w:tcW w:type="dxa" w:w="234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$349/mo</w:t>
            </w:r>
          </w:p>
        </w:tc>
        <w:tc>
          <w:tcPr>
            <w:tcW w:type="dxa" w:w="234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itemized $383 (saves $34)</w:t>
            </w:r>
          </w:p>
        </w:tc>
      </w:tr>
      <w:tr>
        <w:tc>
          <w:tcPr>
            <w:tcW w:type="dxa" w:w="234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Jian Pro Bundle</w:t>
            </w:r>
          </w:p>
        </w:tc>
        <w:tc>
          <w:tcPr>
            <w:tcW w:type="dxa" w:w="234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Compliance Pro 50 seats + 2 firewalls + 1 backup + 1 Meraki</w:t>
            </w:r>
          </w:p>
        </w:tc>
        <w:tc>
          <w:tcPr>
            <w:tcW w:type="dxa" w:w="234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$1,495/mo</w:t>
            </w:r>
          </w:p>
        </w:tc>
        <w:tc>
          <w:tcPr>
            <w:tcW w:type="dxa" w:w="234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itemized $1,615 (saves $120)</w:t>
            </w:r>
          </w:p>
        </w:tc>
      </w:tr>
      <w:tr>
        <w:tc>
          <w:tcPr>
            <w:tcW w:type="dxa" w:w="234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Jian Enterprise Bundle</w:t>
            </w:r>
          </w:p>
        </w:tc>
        <w:tc>
          <w:tcPr>
            <w:tcW w:type="dxa" w:w="234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Compliance Pro 100 seats + 3 firewalls + 1 backup + 2 Meraki + 1 DNS</w:t>
            </w:r>
          </w:p>
        </w:tc>
        <w:tc>
          <w:tcPr>
            <w:tcW w:type="dxa" w:w="234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$2,695/mo</w:t>
            </w:r>
          </w:p>
        </w:tc>
        <w:tc>
          <w:tcPr>
            <w:tcW w:type="dxa" w:w="234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itemized $2,953 (saves $258)</w:t>
            </w:r>
          </w:p>
        </w:tc>
      </w:tr>
    </w:tbl>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Service</w:t>
            </w:r>
          </w:p>
        </w:tc>
        <w:tc>
          <w:tcPr>
            <w:tcW w:type="dxa" w:w="1872"/>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Jian Price</w:t>
            </w:r>
          </w:p>
        </w:tc>
        <w:tc>
          <w:tcPr>
            <w:tcW w:type="dxa" w:w="1872"/>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Annual (2 mo free)</w:t>
            </w:r>
          </w:p>
        </w:tc>
        <w:tc>
          <w:tcPr>
            <w:tcW w:type="dxa" w:w="1872"/>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Name-Brand Comp</w:t>
            </w:r>
          </w:p>
        </w:tc>
        <w:tc>
          <w:tcPr>
            <w:tcW w:type="dxa" w:w="1872"/>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 of Comp</w:t>
            </w:r>
          </w:p>
        </w:tc>
      </w:tr>
      <w:tr>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Jian for Firewall (per Sophos/Meraki firewall)</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$99/firewall/mo</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$990/yr</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Arctic Wolf $300–$500/site; Sophos My Sophos $99–$299</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20–33%</w:t>
            </w:r>
          </w:p>
        </w:tc>
      </w:tr>
      <w:tr>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Jian for Meraki Network (per Meraki org)</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$79/org/mo</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$790/yr</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Auvik $250/site</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32%</w:t>
            </w:r>
          </w:p>
        </w:tc>
      </w:tr>
      <w:tr>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Jian for Backup (per Veeam VBR / 365 / ONE / NAKIVO env)</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$59/env/mo</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$590/yr</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Liongard $50–$100 (no NAKIVO)</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59–118%</w:t>
            </w:r>
          </w:p>
        </w:tc>
      </w:tr>
      <w:tr>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Jian for DNS (per Cisco Umbrella tenant)</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$39/tenant/mo</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$390/yr</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Cisco Umbrella reporting add-ons ~$80+</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49%</w:t>
            </w:r>
          </w:p>
        </w:tc>
      </w:tr>
      <w:tr>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Jian for Endpoint EDR — Workstation (overlay your EDR vendor)</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$1.50/workstation/mo</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$15/yr</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Huntress $6/desktop</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25%</w:t>
            </w:r>
          </w:p>
        </w:tc>
      </w:tr>
      <w:tr>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Jian for Endpoint EDR — Server (overlay your EDR vendor)</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$3.50/server/mo</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$35/yr</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Huntress $6/server, CrowdStrike $10–$15</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23–58%</w:t>
            </w:r>
          </w:p>
        </w:tc>
      </w:tr>
      <w:tr>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Jian for vCenter (per vCenter Server)</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$99/vCenter/mo</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$990/yr</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VMware vROps Premium ~$150+</w:t>
            </w:r>
          </w:p>
        </w:tc>
        <w:tc>
          <w:tcPr>
            <w:tcW w:type="dxa" w:w="1872"/>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66%</w:t>
            </w:r>
          </w:p>
        </w:tc>
      </w:tr>
      <w:tr>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Jian for Web / Cloudflare (per zone)</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$29/zone/mo</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$290/yr</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Cloudflare paid + manual labor</w:t>
            </w:r>
          </w:p>
        </w:tc>
        <w:tc>
          <w:tcPr>
            <w:tcW w:type="dxa" w:w="1872"/>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~40%</w:t>
            </w:r>
          </w:p>
        </w:tc>
      </w:tr>
    </w:tbl>
    <w:tbl>
      <w:tblPr>
        <w:tblW w:type="auto" w:w="0"/>
        <w:jc w:val="center"/>
        <w:tblLook w:firstColumn="1" w:firstRow="1" w:lastColumn="0" w:lastRow="0" w:noHBand="0" w:noVBand="1" w:val="04A0"/>
      </w:tblPr>
      <w:tblGrid>
        <w:gridCol w:w="2340"/>
        <w:gridCol w:w="2340"/>
        <w:gridCol w:w="2340"/>
        <w:gridCol w:w="2340"/>
      </w:tblGrid>
      <w:tr>
        <w:tc>
          <w:tcPr>
            <w:tcW w:type="dxa" w:w="234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SKU</w:t>
            </w:r>
          </w:p>
        </w:tc>
        <w:tc>
          <w:tcPr>
            <w:tcW w:type="dxa" w:w="234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Price</w:t>
            </w:r>
          </w:p>
        </w:tc>
        <w:tc>
          <w:tcPr>
            <w:tcW w:type="dxa" w:w="234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Cap</w:t>
            </w:r>
          </w:p>
        </w:tc>
        <w:tc>
          <w:tcPr>
            <w:tcW w:type="dxa" w:w="234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Best for</w:t>
            </w:r>
          </w:p>
        </w:tc>
      </w:tr>
      <w:tr>
        <w:tc>
          <w:tcPr>
            <w:tcW w:type="dxa" w:w="234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Jian Teams Bot Only</w:t>
            </w:r>
          </w:p>
        </w:tc>
        <w:tc>
          <w:tcPr>
            <w:tcW w:type="dxa" w:w="234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$99/mo flat</w:t>
            </w:r>
          </w:p>
        </w:tc>
        <w:tc>
          <w:tcPr>
            <w:tcW w:type="dxa" w:w="234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Up to 25 users</w:t>
            </w:r>
          </w:p>
        </w:tc>
        <w:tc>
          <w:tcPr>
            <w:tcW w:type="dxa" w:w="234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5–25 seat client who just wants @Jian in Teams. No platform monitoring, no compliance, no reports. Above 25 users, must upgrade to Standard.</w:t>
            </w:r>
          </w:p>
        </w:tc>
      </w:tr>
    </w:tbl>
    <w:tbl>
      <w:tblPr>
        <w:tblW w:type="auto" w:w="0"/>
        <w:jc w:val="center"/>
        <w:tblLook w:firstColumn="1" w:firstRow="1" w:lastColumn="0" w:lastRow="0" w:noHBand="0" w:noVBand="1" w:val="04A0"/>
      </w:tblPr>
      <w:tblGrid>
        <w:gridCol w:w="2340"/>
        <w:gridCol w:w="2340"/>
        <w:gridCol w:w="2340"/>
        <w:gridCol w:w="2340"/>
      </w:tblGrid>
      <w:tr>
        <w:tc>
          <w:tcPr>
            <w:tcW w:type="dxa" w:w="234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Tier</w:t>
            </w:r>
          </w:p>
        </w:tc>
        <w:tc>
          <w:tcPr>
            <w:tcW w:type="dxa" w:w="234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Price</w:t>
            </w:r>
          </w:p>
        </w:tc>
        <w:tc>
          <w:tcPr>
            <w:tcW w:type="dxa" w:w="234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Annual (2 mo free)</w:t>
            </w:r>
          </w:p>
        </w:tc>
        <w:tc>
          <w:tcPr>
            <w:tcW w:type="dxa" w:w="2340"/>
            <w:shd w:fill="1F4E79"/>
            <w:tcBorders>
              <w:top w:val="single" w:sz="4" w:color="BFBFBF"/>
              <w:left w:val="single" w:sz="4" w:color="BFBFBF"/>
              <w:bottom w:val="single" w:sz="4" w:color="BFBFBF"/>
              <w:right w:val="single" w:sz="4" w:color="BFBFBF"/>
            </w:tcBorders>
          </w:tcPr>
          <w:p>
            <w:pPr>
              <w:spacing w:before="20" w:after="20"/>
              <w:jc w:val="left"/>
            </w:pPr>
            <w:r/>
            <w:r>
              <w:rPr>
                <w:rFonts w:ascii="Calibri" w:hAnsi="Calibri"/>
                <w:b/>
                <w:color w:val="FFFFFF"/>
                <w:sz w:val="18"/>
              </w:rPr>
              <w:t>Best for</w:t>
            </w:r>
          </w:p>
        </w:tc>
      </w:tr>
      <w:tr>
        <w:tc>
          <w:tcPr>
            <w:tcW w:type="dxa" w:w="234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Jian for M365 — Standard</w:t>
            </w:r>
          </w:p>
        </w:tc>
        <w:tc>
          <w:tcPr>
            <w:tcW w:type="dxa" w:w="234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$9/user/mo</w:t>
            </w:r>
          </w:p>
        </w:tc>
        <w:tc>
          <w:tcPr>
            <w:tcW w:type="dxa" w:w="234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$90/user/yr</w:t>
            </w:r>
          </w:p>
        </w:tc>
        <w:tc>
          <w:tcPr>
            <w:tcW w:type="dxa" w:w="2340"/>
            <w:shd w:fill="FFFFFF"/>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General SMB; covers M365 monitoring, @Jian Teams bot, HIPAA/SOC 2/PCI compliance, branded monthly M365 report, SIEM correlation, MITRE tagging</w:t>
            </w:r>
          </w:p>
        </w:tc>
      </w:tr>
      <w:tr>
        <w:tc>
          <w:tcPr>
            <w:tcW w:type="dxa" w:w="234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Jian for M365 — Compliance Pro</w:t>
            </w:r>
          </w:p>
        </w:tc>
        <w:tc>
          <w:tcPr>
            <w:tcW w:type="dxa" w:w="234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$24/user/mo</w:t>
            </w:r>
          </w:p>
        </w:tc>
        <w:tc>
          <w:tcPr>
            <w:tcW w:type="dxa" w:w="234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$240/user/yr</w:t>
            </w:r>
          </w:p>
        </w:tc>
        <w:tc>
          <w:tcPr>
            <w:tcW w:type="dxa" w:w="2340"/>
            <w:shd w:fill="F2F7FB"/>
            <w:tcBorders>
              <w:top w:val="single" w:sz="4" w:color="BFBFBF"/>
              <w:left w:val="single" w:sz="4" w:color="BFBFBF"/>
              <w:bottom w:val="single" w:sz="4" w:color="BFBFBF"/>
              <w:right w:val="single" w:sz="4" w:color="BFBFBF"/>
            </w:tcBorders>
          </w:tcPr>
          <w:p>
            <w:pPr>
              <w:spacing w:before="20" w:after="20"/>
              <w:jc w:val="left"/>
            </w:pPr>
            <w:r/>
            <w:r>
              <w:rPr>
                <w:rFonts w:ascii="Calibri" w:hAnsi="Calibri"/>
                <w:b w:val="0"/>
                <w:color w:val="000000"/>
                <w:sz w:val="18"/>
              </w:rPr>
              <w:t>Regulated / DoD / multi-site; everything in Standard PLUS CMMC + custom frameworks + dedicated CISSP-certified CSM + cross-client correlator + Service Level Agreement (terms in MSA) + custom @Jian skills deployed to your Microsoft Teams workspace + CISSP-led audit-firm liaison</w:t>
            </w:r>
          </w:p>
        </w:tc>
      </w:tr>
    </w:tbl>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1" w:space="6"/>
      </w:pBdr>
      <w:jc w:val="center"/>
    </w:pPr>
    <w:r>
      <w:rPr>
        <w:rFonts w:ascii="Open Sans" w:cs="Open Sans" w:eastAsia="Open Sans" w:hAnsi="Open Sans"/>
        <w:color w:val="59595B"/>
        <w:sz w:val="15"/>
        <w:szCs w:val="15"/>
      </w:rPr>
      <w:t xml:space="preserve">Technijian  |  18 Technology Dr., Ste 141, Irvine, CA 92618  |  949.379.8499  |  technijian.com    —    CONFIDENTIAL    —    Page </w:t>
    </w:r>
    <w:r>
      <w:rPr>
        <w:rFonts w:ascii="Open Sans" w:cs="Open Sans" w:eastAsia="Open Sans" w:hAnsi="Open Sans"/>
        <w:color w:val="59595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B6" w:sz="2" w:space="6"/>
      </w:pBdr>
      <w:spacing w:after="60"/>
    </w:pPr>
    <w:r>
      <w:drawing>
        <wp:inline distT="0" distB="0" distL="0" distR="0">
          <wp:extent cx="1428750" cy="295275"/>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952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pen Sans" w:cs="Open Sans" w:eastAsia="Open Sans" w:hAnsi="Open Sans"/>
      <w:b/>
      <w:bCs/>
      <w:color w:val="006DB6"/>
      <w:sz w:val="32"/>
      <w:szCs w:val="32"/>
    </w:rPr>
  </w:style>
  <w:style w:type="paragraph" w:styleId="Heading2">
    <w:name w:val="Heading 2"/>
    <w:basedOn w:val="Normal"/>
    <w:next w:val="Normal"/>
    <w:qFormat/>
    <w:pPr>
      <w:spacing w:after="160" w:before="300"/>
      <w:outlineLvl w:val="1"/>
    </w:pPr>
    <w:rPr>
      <w:rFonts w:ascii="Open Sans" w:cs="Open Sans" w:eastAsia="Open Sans" w:hAnsi="Open Sans"/>
      <w:b/>
      <w:bCs/>
      <w:color w:val="1A1A2E"/>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Jian — System Specification</dc:title>
  <dc:creator>Technijian</dc:creator>
  <dc:description>Technical specification and architecture reference for the Jian autonomous IT operations agent.</dc:description>
  <cp:lastModifiedBy>Un-named</cp:lastModifiedBy>
  <cp:revision>1</cp:revision>
  <dcterms:created xsi:type="dcterms:W3CDTF">2026-05-28T14:16:30.278Z</dcterms:created>
  <dcterms:modified xsi:type="dcterms:W3CDTF">2026-05-28T14:16:30.280Z</dcterms:modified>
</cp:coreProperties>
</file>

<file path=docProps/custom.xml><?xml version="1.0" encoding="utf-8"?>
<Properties xmlns="http://schemas.openxmlformats.org/officeDocument/2006/custom-properties" xmlns:vt="http://schemas.openxmlformats.org/officeDocument/2006/docPropsVTypes"/>
</file>