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006DB6" w:val="clear"/>
          </w:tcPr>
          <w:p>
            <w:r>
              <w:t xml:space="preserve"/>
            </w:r>
          </w:p>
        </w:tc>
      </w:tr>
    </w:tbl>
    <w:p>
      <w:pPr>
        <w:keepNext/>
        <w:spacing w:after="0" w:before="780"/>
      </w:pPr>
      <w:r>
        <w:t xml:space="preserve"/>
      </w:r>
    </w:p>
    <w:p>
      <w:pPr>
        <w:jc w:val="center"/>
      </w:pPr>
      <w:r>
        <w:drawing>
          <wp:inline distT="0" distB="0" distL="0" distR="0">
            <wp:extent cx="3143250" cy="657225"/>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657225"/>
                    </a:xfrm>
                    <a:prstGeom prst="rect">
                      <a:avLst/>
                    </a:prstGeom>
                  </pic:spPr>
                </pic:pic>
              </a:graphicData>
            </a:graphic>
          </wp:inline>
        </w:drawing>
      </w:r>
    </w:p>
    <w:p>
      <w:pPr>
        <w:keepNext/>
        <w:spacing w:after="0" w:before="320"/>
      </w:pPr>
      <w:r>
        <w:t xml:space="preserve"/>
      </w:r>
    </w:p>
    <w:p>
      <w:pPr>
        <w:jc w:val="center"/>
      </w:pPr>
      <w:r>
        <w:rPr>
          <w:b/>
          <w:bCs/>
          <w:color w:val="F67D4B"/>
          <w:sz w:val="32"/>
          <w:szCs w:val="32"/>
        </w:rPr>
        <w:t xml:space="preserve">━━━━━━━━━━</w:t>
      </w:r>
    </w:p>
    <w:p>
      <w:pPr>
        <w:keepNext/>
        <w:spacing w:after="0" w:before="210"/>
      </w:pPr>
      <w:r>
        <w:t xml:space="preserve"/>
      </w:r>
    </w:p>
    <w:p>
      <w:pPr>
        <w:spacing w:after="200" w:before="0"/>
        <w:jc w:val="center"/>
      </w:pPr>
      <w:r>
        <w:rPr>
          <w:rFonts w:ascii="Open Sans" w:cs="Open Sans" w:eastAsia="Open Sans" w:hAnsi="Open Sans"/>
          <w:b/>
          <w:bCs/>
          <w:i w:val="false"/>
          <w:iCs w:val="false"/>
          <w:color w:val="F67D4B"/>
          <w:sz w:val="27"/>
          <w:szCs w:val="27"/>
        </w:rPr>
        <w:t xml:space="preserve">AI GROWTH BLUEPRINT</w:t>
      </w:r>
    </w:p>
    <w:p>
      <w:pPr>
        <w:keepNext/>
        <w:spacing w:after="0" w:before="140"/>
      </w:pPr>
      <w:r>
        <w:t xml:space="preserve"/>
      </w:r>
    </w:p>
    <w:p>
      <w:pPr>
        <w:spacing w:after="150" w:before="0"/>
        <w:jc w:val="center"/>
      </w:pPr>
      <w:r>
        <w:rPr>
          <w:rFonts w:ascii="Open Sans" w:cs="Open Sans" w:eastAsia="Open Sans" w:hAnsi="Open Sans"/>
          <w:b/>
          <w:bCs/>
          <w:i w:val="false"/>
          <w:iCs w:val="false"/>
          <w:color w:val="1A1A2E"/>
          <w:sz w:val="52"/>
          <w:szCs w:val="52"/>
        </w:rPr>
        <w:t xml:space="preserve">Alexandria House</w:t>
      </w:r>
    </w:p>
    <w:p>
      <w:pPr>
        <w:jc w:val="center"/>
      </w:pPr>
      <w:r>
        <w:rPr>
          <w:rFonts w:ascii="Open Sans" w:cs="Open Sans" w:eastAsia="Open Sans" w:hAnsi="Open Sans"/>
          <w:i/>
          <w:iCs/>
          <w:color w:val="59595B"/>
          <w:sz w:val="22"/>
          <w:szCs w:val="22"/>
        </w:rPr>
        <w:t xml:space="preserve">How AI can help raise more, win more grants, reach more families in English and Spanish, and return staff time to the mission — built on verified facts, with the questions that complete the picture</w:t>
      </w:r>
    </w:p>
    <w:p>
      <w:pPr>
        <w:keepNext/>
        <w:spacing w:after="0" w:before="820"/>
      </w:pPr>
      <w:r>
        <w:t xml:space="preserve"/>
      </w:r>
    </w:p>
    <w:p>
      <w:pPr>
        <w:spacing w:after="60" w:before="0"/>
        <w:jc w:val="center"/>
      </w:pPr>
      <w:r>
        <w:rPr>
          <w:rFonts w:ascii="Open Sans" w:cs="Open Sans" w:eastAsia="Open Sans" w:hAnsi="Open Sans"/>
          <w:b w:val="false"/>
          <w:bCs w:val="false"/>
          <w:i w:val="false"/>
          <w:iCs w:val="false"/>
          <w:color w:val="59595B"/>
          <w:sz w:val="18"/>
          <w:szCs w:val="18"/>
        </w:rPr>
        <w:t xml:space="preserve">PREPARED FOR</w:t>
      </w:r>
    </w:p>
    <w:p>
      <w:pPr>
        <w:spacing w:after="150" w:before="0"/>
        <w:jc w:val="center"/>
      </w:pPr>
      <w:r>
        <w:rPr>
          <w:rFonts w:ascii="Open Sans" w:cs="Open Sans" w:eastAsia="Open Sans" w:hAnsi="Open Sans"/>
          <w:b/>
          <w:bCs/>
          <w:i w:val="false"/>
          <w:iCs w:val="false"/>
          <w:color w:val="1A1A2E"/>
          <w:sz w:val="22"/>
          <w:szCs w:val="22"/>
        </w:rPr>
        <w:t xml:space="preserve">Marissa Espinoza, Executive Director — Alexandria House</w:t>
      </w:r>
    </w:p>
    <w:p>
      <w:pPr>
        <w:spacing w:after="60" w:before="0"/>
        <w:jc w:val="center"/>
      </w:pPr>
      <w:r>
        <w:rPr>
          <w:rFonts w:ascii="Open Sans" w:cs="Open Sans" w:eastAsia="Open Sans" w:hAnsi="Open Sans"/>
          <w:b w:val="false"/>
          <w:bCs w:val="false"/>
          <w:i w:val="false"/>
          <w:iCs w:val="false"/>
          <w:color w:val="59595B"/>
          <w:sz w:val="18"/>
          <w:szCs w:val="18"/>
        </w:rPr>
        <w:t xml:space="preserve">PREPARED BY</w:t>
      </w:r>
    </w:p>
    <w:p>
      <w:pPr>
        <w:spacing w:after="150" w:before="0"/>
        <w:jc w:val="center"/>
      </w:pPr>
      <w:r>
        <w:rPr>
          <w:rFonts w:ascii="Open Sans" w:cs="Open Sans" w:eastAsia="Open Sans" w:hAnsi="Open Sans"/>
          <w:b/>
          <w:bCs/>
          <w:i w:val="false"/>
          <w:iCs w:val="false"/>
          <w:color w:val="006DB6"/>
          <w:sz w:val="22"/>
          <w:szCs w:val="22"/>
        </w:rPr>
        <w:t xml:space="preserve">Technijian — technology as a solution</w:t>
      </w:r>
    </w:p>
    <w:p>
      <w:pPr>
        <w:spacing w:after="60" w:before="0"/>
        <w:jc w:val="center"/>
      </w:pPr>
      <w:r>
        <w:rPr>
          <w:rFonts w:ascii="Open Sans" w:cs="Open Sans" w:eastAsia="Open Sans" w:hAnsi="Open Sans"/>
          <w:b w:val="false"/>
          <w:bCs w:val="false"/>
          <w:i w:val="false"/>
          <w:iCs w:val="false"/>
          <w:color w:val="59595B"/>
          <w:sz w:val="18"/>
          <w:szCs w:val="18"/>
        </w:rPr>
        <w:t xml:space="preserve">DATE</w:t>
      </w:r>
    </w:p>
    <w:p>
      <w:pPr>
        <w:spacing w:after="360" w:before="0"/>
        <w:jc w:val="center"/>
      </w:pPr>
      <w:r>
        <w:rPr>
          <w:rFonts w:ascii="Open Sans" w:cs="Open Sans" w:eastAsia="Open Sans" w:hAnsi="Open Sans"/>
          <w:b/>
          <w:bCs/>
          <w:i w:val="false"/>
          <w:iCs w:val="false"/>
          <w:color w:val="1A1A2E"/>
          <w:sz w:val="22"/>
          <w:szCs w:val="22"/>
        </w:rPr>
        <w:t xml:space="preserve">June 16, 2026</w:t>
      </w:r>
    </w:p>
    <w:p>
      <w:pPr>
        <w:spacing w:after="160" w:before="0"/>
        <w:jc w:val="center"/>
      </w:pPr>
      <w:r>
        <w:rPr>
          <w:rFonts w:ascii="Open Sans" w:cs="Open Sans" w:eastAsia="Open Sans" w:hAnsi="Open Sans"/>
          <w:b/>
          <w:bCs/>
          <w:i w:val="false"/>
          <w:iCs w:val="false"/>
          <w:color w:val="59595B"/>
          <w:sz w:val="16"/>
          <w:szCs w:val="16"/>
        </w:rPr>
        <w:t xml:space="preserve">CONFIDENTIAL · PREPARED EXCLUSIVELY FOR ALEXANDRIA HOUSE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F67D4B" w:val="clear"/>
          </w:tcPr>
          <w:p>
            <w:r>
              <w:t xml:space="preserve"/>
            </w:r>
          </w:p>
        </w:tc>
      </w:tr>
    </w:tbl>
    <w:p>
      <w:pPr>
        <w:pStyle w:val="Heading1"/>
        <w:keepNext/>
        <w:pageBreakBefore/>
        <w:spacing w:after="120" w:before="0" w:line="240"/>
      </w:pPr>
      <w:r>
        <w:rPr>
          <w:rFonts w:ascii="Open Sans" w:cs="Open Sans" w:eastAsia="Open Sans" w:hAnsi="Open Sans"/>
          <w:color w:val="FFFFFF"/>
          <w:sz w:val="2"/>
          <w:szCs w:val="2"/>
        </w:rPr>
        <w:t xml:space="preserve">Contents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Contents</w:t>
            </w:r>
          </w:p>
        </w:tc>
      </w:tr>
    </w:tbl>
    <w:p>
      <w:pPr>
        <w:keepNext/>
        <w:spacing w:after="0" w:before="120"/>
      </w:pPr>
      <w:r>
        <w:t xml:space="preserve"/>
      </w:r>
    </w:p>
    <w:p>
      <w:pPr>
        <w:keepNext/>
        <w:spacing w:after="0" w:before="40"/>
      </w:pPr>
      <w:r>
        <w:t xml:space="preserve"/>
      </w:r>
    </w:p>
    <w:p>
      <w:pPr>
        <w:spacing w:after="60" w:before="0"/>
      </w:pPr>
      <w:r>
        <w:rPr>
          <w:rFonts w:ascii="Open Sans" w:cs="Open Sans" w:eastAsia="Open Sans" w:hAnsi="Open Sans"/>
          <w:i/>
          <w:iCs/>
          <w:color w:val="59595B"/>
          <w:sz w:val="18"/>
          <w:szCs w:val="18"/>
        </w:rPr>
        <w:t xml:space="preserve">Fifteen sections across 35 pages. The orange figures are section numbers; the figures on the right are the pages each section spans.</w:t>
      </w:r>
    </w:p>
    <w:p>
      <w:pPr>
        <w:pBdr>
          <w:bottom w:val="single" w:color="E9ECEF" w:sz="6"/>
        </w:pBdr>
        <w:tabs>
          <w:tab w:val="left" w:pos="600"/>
          <w:tab w:val="right" w:pos="9360"/>
        </w:tabs>
        <w:spacing w:after="40" w:before="80"/>
      </w:pPr>
      <w:r>
        <w:rPr>
          <w:rFonts w:ascii="Open Sans" w:cs="Open Sans" w:eastAsia="Open Sans" w:hAnsi="Open Sans"/>
          <w:b/>
          <w:bCs/>
          <w:color w:val="59595B"/>
          <w:sz w:val="16"/>
          <w:szCs w:val="16"/>
        </w:rPr>
        <w:t xml:space="preserve">#</w:t>
      </w:r>
      <w:r>
        <w:rPr>
          <w:rFonts w:ascii="Open Sans" w:cs="Open Sans" w:eastAsia="Open Sans" w:hAnsi="Open Sans"/>
          <w:b/>
          <w:bCs/>
          <w:color w:val="59595B"/>
          <w:sz w:val="16"/>
          <w:szCs w:val="16"/>
        </w:rPr>
        <w:t xml:space="preserve">	SECTION</w:t>
      </w:r>
      <w:r>
        <w:rPr>
          <w:rFonts w:ascii="Open Sans" w:cs="Open Sans" w:eastAsia="Open Sans" w:hAnsi="Open Sans"/>
          <w:b/>
          <w:bCs/>
          <w:color w:val="59595B"/>
          <w:sz w:val="16"/>
          <w:szCs w:val="16"/>
        </w:rPr>
        <w:t xml:space="preserve">	PAGES</w:t>
      </w:r>
    </w:p>
    <w:p>
      <w:pPr>
        <w:tabs>
          <w:tab w:val="left" w:pos="600"/>
          <w:tab w:val="right" w:pos="9360" w:leader="dot"/>
        </w:tabs>
        <w:spacing w:after="50" w:before="50"/>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How to Read This Blueprint</w:t>
      </w:r>
      <w:r>
        <w:rPr>
          <w:rFonts w:ascii="Open Sans" w:cs="Open Sans" w:eastAsia="Open Sans" w:hAnsi="Open Sans"/>
          <w:color w:val="1A1A2E"/>
          <w:sz w:val="22"/>
          <w:szCs w:val="22"/>
        </w:rPr>
        <w:t xml:space="preserve">	3–4</w:t>
      </w:r>
    </w:p>
    <w:p>
      <w:pPr>
        <w:tabs>
          <w:tab w:val="left" w:pos="600"/>
          <w:tab w:val="right" w:pos="9360" w:leader="dot"/>
        </w:tabs>
        <w:spacing w:after="50" w:before="50"/>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Executive Summary</w:t>
      </w:r>
      <w:r>
        <w:rPr>
          <w:rFonts w:ascii="Open Sans" w:cs="Open Sans" w:eastAsia="Open Sans" w:hAnsi="Open Sans"/>
          <w:color w:val="1A1A2E"/>
          <w:sz w:val="22"/>
          <w:szCs w:val="22"/>
        </w:rPr>
        <w:t xml:space="preserve">	5–6</w:t>
      </w:r>
    </w:p>
    <w:p>
      <w:pPr>
        <w:tabs>
          <w:tab w:val="left" w:pos="600"/>
          <w:tab w:val="right" w:pos="9360" w:leader="dot"/>
        </w:tabs>
        <w:spacing w:after="50" w:before="50"/>
      </w:pPr>
      <w:r>
        <w:rPr>
          <w:rFonts w:ascii="Open Sans" w:cs="Open Sans" w:eastAsia="Open Sans" w:hAnsi="Open Sans"/>
          <w:b/>
          <w:bCs/>
          <w:color w:val="F67D4B"/>
          <w:sz w:val="22"/>
          <w:szCs w:val="22"/>
        </w:rPr>
        <w:t xml:space="preserve">01</w:t>
      </w:r>
      <w:r>
        <w:rPr>
          <w:rFonts w:ascii="Open Sans" w:cs="Open Sans" w:eastAsia="Open Sans" w:hAnsi="Open Sans"/>
          <w:b w:val="false"/>
          <w:bCs w:val="false"/>
          <w:color w:val="1A1A2E"/>
          <w:sz w:val="22"/>
          <w:szCs w:val="22"/>
        </w:rPr>
        <w:t xml:space="preserve">	The Organization &amp; Mission</w:t>
      </w:r>
      <w:r>
        <w:rPr>
          <w:rFonts w:ascii="Open Sans" w:cs="Open Sans" w:eastAsia="Open Sans" w:hAnsi="Open Sans"/>
          <w:color w:val="1A1A2E"/>
          <w:sz w:val="22"/>
          <w:szCs w:val="22"/>
        </w:rPr>
        <w:t xml:space="preserve">	7–8</w:t>
      </w:r>
    </w:p>
    <w:p>
      <w:pPr>
        <w:tabs>
          <w:tab w:val="left" w:pos="600"/>
          <w:tab w:val="right" w:pos="9360" w:leader="dot"/>
        </w:tabs>
        <w:spacing w:after="50" w:before="50"/>
      </w:pPr>
      <w:r>
        <w:rPr>
          <w:rFonts w:ascii="Open Sans" w:cs="Open Sans" w:eastAsia="Open Sans" w:hAnsi="Open Sans"/>
          <w:b/>
          <w:bCs/>
          <w:color w:val="F67D4B"/>
          <w:sz w:val="22"/>
          <w:szCs w:val="22"/>
        </w:rPr>
        <w:t xml:space="preserve">02</w:t>
      </w:r>
      <w:r>
        <w:rPr>
          <w:rFonts w:ascii="Open Sans" w:cs="Open Sans" w:eastAsia="Open Sans" w:hAnsi="Open Sans"/>
          <w:b w:val="false"/>
          <w:bCs w:val="false"/>
          <w:color w:val="1A1A2E"/>
          <w:sz w:val="22"/>
          <w:szCs w:val="22"/>
        </w:rPr>
        <w:t xml:space="preserve">	How Alexandria House Creates &amp; Sustains Impact</w:t>
      </w:r>
      <w:r>
        <w:rPr>
          <w:rFonts w:ascii="Open Sans" w:cs="Open Sans" w:eastAsia="Open Sans" w:hAnsi="Open Sans"/>
          <w:color w:val="1A1A2E"/>
          <w:sz w:val="22"/>
          <w:szCs w:val="22"/>
        </w:rPr>
        <w:t xml:space="preserve">	9–10</w:t>
      </w:r>
    </w:p>
    <w:p>
      <w:pPr>
        <w:tabs>
          <w:tab w:val="left" w:pos="600"/>
          <w:tab w:val="right" w:pos="9360" w:leader="dot"/>
        </w:tabs>
        <w:spacing w:after="50" w:before="50"/>
      </w:pPr>
      <w:r>
        <w:rPr>
          <w:rFonts w:ascii="Open Sans" w:cs="Open Sans" w:eastAsia="Open Sans" w:hAnsi="Open Sans"/>
          <w:b/>
          <w:bCs/>
          <w:color w:val="F67D4B"/>
          <w:sz w:val="22"/>
          <w:szCs w:val="22"/>
        </w:rPr>
        <w:t xml:space="preserve">03</w:t>
      </w:r>
      <w:r>
        <w:rPr>
          <w:rFonts w:ascii="Open Sans" w:cs="Open Sans" w:eastAsia="Open Sans" w:hAnsi="Open Sans"/>
          <w:b w:val="false"/>
          <w:bCs w:val="false"/>
          <w:color w:val="1A1A2E"/>
          <w:sz w:val="22"/>
          <w:szCs w:val="22"/>
        </w:rPr>
        <w:t xml:space="preserve">	The Nonprofit Funding &amp; AI Landscape</w:t>
      </w:r>
      <w:r>
        <w:rPr>
          <w:rFonts w:ascii="Open Sans" w:cs="Open Sans" w:eastAsia="Open Sans" w:hAnsi="Open Sans"/>
          <w:color w:val="1A1A2E"/>
          <w:sz w:val="22"/>
          <w:szCs w:val="22"/>
        </w:rPr>
        <w:t xml:space="preserve">	11–12</w:t>
      </w:r>
    </w:p>
    <w:p>
      <w:pPr>
        <w:tabs>
          <w:tab w:val="left" w:pos="600"/>
          <w:tab w:val="right" w:pos="9360" w:leader="dot"/>
        </w:tabs>
        <w:spacing w:after="50" w:before="50"/>
      </w:pPr>
      <w:r>
        <w:rPr>
          <w:rFonts w:ascii="Open Sans" w:cs="Open Sans" w:eastAsia="Open Sans" w:hAnsi="Open Sans"/>
          <w:b/>
          <w:bCs/>
          <w:color w:val="F67D4B"/>
          <w:sz w:val="22"/>
          <w:szCs w:val="22"/>
        </w:rPr>
        <w:t xml:space="preserve">04</w:t>
      </w:r>
      <w:r>
        <w:rPr>
          <w:rFonts w:ascii="Open Sans" w:cs="Open Sans" w:eastAsia="Open Sans" w:hAnsi="Open Sans"/>
          <w:b w:val="false"/>
          <w:bCs w:val="false"/>
          <w:color w:val="1A1A2E"/>
          <w:sz w:val="22"/>
          <w:szCs w:val="22"/>
        </w:rPr>
        <w:t xml:space="preserve">	Where Growth &amp; Capacity Live</w:t>
      </w:r>
      <w:r>
        <w:rPr>
          <w:rFonts w:ascii="Open Sans" w:cs="Open Sans" w:eastAsia="Open Sans" w:hAnsi="Open Sans"/>
          <w:color w:val="1A1A2E"/>
          <w:sz w:val="22"/>
          <w:szCs w:val="22"/>
        </w:rPr>
        <w:t xml:space="preserve">	13</w:t>
      </w:r>
    </w:p>
    <w:p>
      <w:pPr>
        <w:tabs>
          <w:tab w:val="left" w:pos="600"/>
          <w:tab w:val="right" w:pos="9360" w:leader="dot"/>
        </w:tabs>
        <w:spacing w:after="50" w:before="50"/>
      </w:pPr>
      <w:r>
        <w:rPr>
          <w:rFonts w:ascii="Open Sans" w:cs="Open Sans" w:eastAsia="Open Sans" w:hAnsi="Open Sans"/>
          <w:b/>
          <w:bCs/>
          <w:color w:val="F67D4B"/>
          <w:sz w:val="22"/>
          <w:szCs w:val="22"/>
        </w:rPr>
        <w:t xml:space="preserve">05</w:t>
      </w:r>
      <w:r>
        <w:rPr>
          <w:rFonts w:ascii="Open Sans" w:cs="Open Sans" w:eastAsia="Open Sans" w:hAnsi="Open Sans"/>
          <w:b w:val="false"/>
          <w:bCs w:val="false"/>
          <w:color w:val="1A1A2E"/>
          <w:sz w:val="22"/>
          <w:szCs w:val="22"/>
        </w:rPr>
        <w:t xml:space="preserve">	The Supporter &amp; Stakeholder Relationships</w:t>
      </w:r>
      <w:r>
        <w:rPr>
          <w:rFonts w:ascii="Open Sans" w:cs="Open Sans" w:eastAsia="Open Sans" w:hAnsi="Open Sans"/>
          <w:color w:val="1A1A2E"/>
          <w:sz w:val="22"/>
          <w:szCs w:val="22"/>
        </w:rPr>
        <w:t xml:space="preserve">	14–15</w:t>
      </w:r>
    </w:p>
    <w:p>
      <w:pPr>
        <w:tabs>
          <w:tab w:val="left" w:pos="600"/>
          <w:tab w:val="right" w:pos="9360" w:leader="dot"/>
        </w:tabs>
        <w:spacing w:after="50" w:before="50"/>
      </w:pPr>
      <w:r>
        <w:rPr>
          <w:rFonts w:ascii="Open Sans" w:cs="Open Sans" w:eastAsia="Open Sans" w:hAnsi="Open Sans"/>
          <w:b/>
          <w:bCs/>
          <w:color w:val="F67D4B"/>
          <w:sz w:val="22"/>
          <w:szCs w:val="22"/>
        </w:rPr>
        <w:t xml:space="preserve">06</w:t>
      </w:r>
      <w:r>
        <w:rPr>
          <w:rFonts w:ascii="Open Sans" w:cs="Open Sans" w:eastAsia="Open Sans" w:hAnsi="Open Sans"/>
          <w:b w:val="false"/>
          <w:bCs w:val="false"/>
          <w:color w:val="1A1A2E"/>
          <w:sz w:val="22"/>
          <w:szCs w:val="22"/>
        </w:rPr>
        <w:t xml:space="preserve">	The Funding &amp; Visibility Landscape</w:t>
      </w:r>
      <w:r>
        <w:rPr>
          <w:rFonts w:ascii="Open Sans" w:cs="Open Sans" w:eastAsia="Open Sans" w:hAnsi="Open Sans"/>
          <w:color w:val="1A1A2E"/>
          <w:sz w:val="22"/>
          <w:szCs w:val="22"/>
        </w:rPr>
        <w:t xml:space="preserve">	16–17</w:t>
      </w:r>
    </w:p>
    <w:p>
      <w:pPr>
        <w:tabs>
          <w:tab w:val="left" w:pos="600"/>
          <w:tab w:val="right" w:pos="9360" w:leader="dot"/>
        </w:tabs>
        <w:spacing w:after="50" w:before="50"/>
      </w:pPr>
      <w:r>
        <w:rPr>
          <w:rFonts w:ascii="Open Sans" w:cs="Open Sans" w:eastAsia="Open Sans" w:hAnsi="Open Sans"/>
          <w:b/>
          <w:bCs/>
          <w:color w:val="F67D4B"/>
          <w:sz w:val="22"/>
          <w:szCs w:val="22"/>
        </w:rPr>
        <w:t xml:space="preserve">07</w:t>
      </w:r>
      <w:r>
        <w:rPr>
          <w:rFonts w:ascii="Open Sans" w:cs="Open Sans" w:eastAsia="Open Sans" w:hAnsi="Open Sans"/>
          <w:b w:val="false"/>
          <w:bCs w:val="false"/>
          <w:color w:val="1A1A2E"/>
          <w:sz w:val="22"/>
          <w:szCs w:val="22"/>
        </w:rPr>
        <w:t xml:space="preserve">	Brand &amp; Digital Presence Audit</w:t>
      </w:r>
      <w:r>
        <w:rPr>
          <w:rFonts w:ascii="Open Sans" w:cs="Open Sans" w:eastAsia="Open Sans" w:hAnsi="Open Sans"/>
          <w:color w:val="1A1A2E"/>
          <w:sz w:val="22"/>
          <w:szCs w:val="22"/>
        </w:rPr>
        <w:t xml:space="preserve">	18–19</w:t>
      </w:r>
    </w:p>
    <w:p>
      <w:pPr>
        <w:tabs>
          <w:tab w:val="left" w:pos="600"/>
          <w:tab w:val="right" w:pos="9360" w:leader="dot"/>
        </w:tabs>
        <w:spacing w:after="50" w:before="50"/>
      </w:pPr>
      <w:r>
        <w:rPr>
          <w:rFonts w:ascii="Open Sans" w:cs="Open Sans" w:eastAsia="Open Sans" w:hAnsi="Open Sans"/>
          <w:b/>
          <w:bCs/>
          <w:color w:val="F67D4B"/>
          <w:sz w:val="22"/>
          <w:szCs w:val="22"/>
        </w:rPr>
        <w:t xml:space="preserve">08</w:t>
      </w:r>
      <w:r>
        <w:rPr>
          <w:rFonts w:ascii="Open Sans" w:cs="Open Sans" w:eastAsia="Open Sans" w:hAnsi="Open Sans"/>
          <w:b w:val="false"/>
          <w:bCs w:val="false"/>
          <w:color w:val="1A1A2E"/>
          <w:sz w:val="22"/>
          <w:szCs w:val="22"/>
        </w:rPr>
        <w:t xml:space="preserve">	Technijian Capability Proof</w:t>
      </w:r>
      <w:r>
        <w:rPr>
          <w:rFonts w:ascii="Open Sans" w:cs="Open Sans" w:eastAsia="Open Sans" w:hAnsi="Open Sans"/>
          <w:color w:val="1A1A2E"/>
          <w:sz w:val="22"/>
          <w:szCs w:val="22"/>
        </w:rPr>
        <w:t xml:space="preserve">	20–21</w:t>
      </w:r>
    </w:p>
    <w:p>
      <w:pPr>
        <w:tabs>
          <w:tab w:val="left" w:pos="600"/>
          <w:tab w:val="right" w:pos="9360" w:leader="dot"/>
        </w:tabs>
        <w:spacing w:after="50" w:before="50"/>
      </w:pPr>
      <w:r>
        <w:rPr>
          <w:rFonts w:ascii="Open Sans" w:cs="Open Sans" w:eastAsia="Open Sans" w:hAnsi="Open Sans"/>
          <w:b/>
          <w:bCs/>
          <w:color w:val="F67D4B"/>
          <w:sz w:val="22"/>
          <w:szCs w:val="22"/>
        </w:rPr>
        <w:t xml:space="preserve">09</w:t>
      </w:r>
      <w:r>
        <w:rPr>
          <w:rFonts w:ascii="Open Sans" w:cs="Open Sans" w:eastAsia="Open Sans" w:hAnsi="Open Sans"/>
          <w:b w:val="false"/>
          <w:bCs w:val="false"/>
          <w:color w:val="1A1A2E"/>
          <w:sz w:val="22"/>
          <w:szCs w:val="22"/>
        </w:rPr>
        <w:t xml:space="preserve">	Understanding AI — A Field Guide for Nonprofit Leadership</w:t>
      </w:r>
      <w:r>
        <w:rPr>
          <w:rFonts w:ascii="Open Sans" w:cs="Open Sans" w:eastAsia="Open Sans" w:hAnsi="Open Sans"/>
          <w:color w:val="1A1A2E"/>
          <w:sz w:val="22"/>
          <w:szCs w:val="22"/>
        </w:rPr>
        <w:t xml:space="preserve">	22–23</w:t>
      </w:r>
    </w:p>
    <w:p>
      <w:pPr>
        <w:tabs>
          <w:tab w:val="left" w:pos="600"/>
          <w:tab w:val="right" w:pos="9360" w:leader="dot"/>
        </w:tabs>
        <w:spacing w:after="50" w:before="50"/>
      </w:pPr>
      <w:r>
        <w:rPr>
          <w:rFonts w:ascii="Open Sans" w:cs="Open Sans" w:eastAsia="Open Sans" w:hAnsi="Open Sans"/>
          <w:b/>
          <w:bCs/>
          <w:color w:val="F67D4B"/>
          <w:sz w:val="22"/>
          <w:szCs w:val="22"/>
        </w:rPr>
        <w:t xml:space="preserve">10</w:t>
      </w:r>
      <w:r>
        <w:rPr>
          <w:rFonts w:ascii="Open Sans" w:cs="Open Sans" w:eastAsia="Open Sans" w:hAnsi="Open Sans"/>
          <w:b w:val="false"/>
          <w:bCs w:val="false"/>
          <w:color w:val="1A1A2E"/>
          <w:sz w:val="22"/>
          <w:szCs w:val="22"/>
        </w:rPr>
        <w:t xml:space="preserve">	The AI Growth Engine</w:t>
      </w:r>
      <w:r>
        <w:rPr>
          <w:rFonts w:ascii="Open Sans" w:cs="Open Sans" w:eastAsia="Open Sans" w:hAnsi="Open Sans"/>
          <w:color w:val="1A1A2E"/>
          <w:sz w:val="22"/>
          <w:szCs w:val="22"/>
        </w:rPr>
        <w:t xml:space="preserve">	24–25</w:t>
      </w:r>
    </w:p>
    <w:p>
      <w:pPr>
        <w:tabs>
          <w:tab w:val="left" w:pos="600"/>
          <w:tab w:val="right" w:pos="9360" w:leader="dot"/>
        </w:tabs>
        <w:spacing w:after="50" w:before="50"/>
      </w:pPr>
      <w:r>
        <w:rPr>
          <w:rFonts w:ascii="Open Sans" w:cs="Open Sans" w:eastAsia="Open Sans" w:hAnsi="Open Sans"/>
          <w:b/>
          <w:bCs/>
          <w:color w:val="F67D4B"/>
          <w:sz w:val="22"/>
          <w:szCs w:val="22"/>
        </w:rPr>
        <w:t xml:space="preserve">11</w:t>
      </w:r>
      <w:r>
        <w:rPr>
          <w:rFonts w:ascii="Open Sans" w:cs="Open Sans" w:eastAsia="Open Sans" w:hAnsi="Open Sans"/>
          <w:b w:val="false"/>
          <w:bCs w:val="false"/>
          <w:color w:val="1A1A2E"/>
          <w:sz w:val="22"/>
          <w:szCs w:val="22"/>
        </w:rPr>
        <w:t xml:space="preserve">	Mission Impact &amp; Investment</w:t>
      </w:r>
      <w:r>
        <w:rPr>
          <w:rFonts w:ascii="Open Sans" w:cs="Open Sans" w:eastAsia="Open Sans" w:hAnsi="Open Sans"/>
          <w:color w:val="1A1A2E"/>
          <w:sz w:val="22"/>
          <w:szCs w:val="22"/>
        </w:rPr>
        <w:t xml:space="preserve">	26–27</w:t>
      </w:r>
    </w:p>
    <w:p>
      <w:pPr>
        <w:tabs>
          <w:tab w:val="left" w:pos="600"/>
          <w:tab w:val="right" w:pos="9360" w:leader="dot"/>
        </w:tabs>
        <w:spacing w:after="50" w:before="50"/>
      </w:pPr>
      <w:r>
        <w:rPr>
          <w:rFonts w:ascii="Open Sans" w:cs="Open Sans" w:eastAsia="Open Sans" w:hAnsi="Open Sans"/>
          <w:b/>
          <w:bCs/>
          <w:color w:val="F67D4B"/>
          <w:sz w:val="22"/>
          <w:szCs w:val="22"/>
        </w:rPr>
        <w:t xml:space="preserve">12</w:t>
      </w:r>
      <w:r>
        <w:rPr>
          <w:rFonts w:ascii="Open Sans" w:cs="Open Sans" w:eastAsia="Open Sans" w:hAnsi="Open Sans"/>
          <w:b w:val="false"/>
          <w:bCs w:val="false"/>
          <w:color w:val="1A1A2E"/>
          <w:sz w:val="22"/>
          <w:szCs w:val="22"/>
        </w:rPr>
        <w:t xml:space="preserve">	Implementation Roadmap</w:t>
      </w:r>
      <w:r>
        <w:rPr>
          <w:rFonts w:ascii="Open Sans" w:cs="Open Sans" w:eastAsia="Open Sans" w:hAnsi="Open Sans"/>
          <w:color w:val="1A1A2E"/>
          <w:sz w:val="22"/>
          <w:szCs w:val="22"/>
        </w:rPr>
        <w:t xml:space="preserve">	28</w:t>
      </w:r>
    </w:p>
    <w:p>
      <w:pPr>
        <w:tabs>
          <w:tab w:val="left" w:pos="600"/>
          <w:tab w:val="right" w:pos="9360" w:leader="dot"/>
        </w:tabs>
        <w:spacing w:after="50" w:before="50"/>
      </w:pPr>
      <w:r>
        <w:rPr>
          <w:rFonts w:ascii="Open Sans" w:cs="Open Sans" w:eastAsia="Open Sans" w:hAnsi="Open Sans"/>
          <w:b/>
          <w:bCs/>
          <w:color w:val="F67D4B"/>
          <w:sz w:val="22"/>
          <w:szCs w:val="22"/>
        </w:rPr>
        <w:t xml:space="preserve">13</w:t>
      </w:r>
      <w:r>
        <w:rPr>
          <w:rFonts w:ascii="Open Sans" w:cs="Open Sans" w:eastAsia="Open Sans" w:hAnsi="Open Sans"/>
          <w:b w:val="false"/>
          <w:bCs w:val="false"/>
          <w:color w:val="1A1A2E"/>
          <w:sz w:val="22"/>
          <w:szCs w:val="22"/>
        </w:rPr>
        <w:t xml:space="preserve">	Quick Wins — Start This Week</w:t>
      </w:r>
      <w:r>
        <w:rPr>
          <w:rFonts w:ascii="Open Sans" w:cs="Open Sans" w:eastAsia="Open Sans" w:hAnsi="Open Sans"/>
          <w:color w:val="1A1A2E"/>
          <w:sz w:val="22"/>
          <w:szCs w:val="22"/>
        </w:rPr>
        <w:t xml:space="preserve">	29</w:t>
      </w:r>
    </w:p>
    <w:p>
      <w:pPr>
        <w:tabs>
          <w:tab w:val="left" w:pos="600"/>
          <w:tab w:val="right" w:pos="9360" w:leader="dot"/>
        </w:tabs>
        <w:spacing w:after="50" w:before="50"/>
      </w:pPr>
      <w:r>
        <w:rPr>
          <w:rFonts w:ascii="Open Sans" w:cs="Open Sans" w:eastAsia="Open Sans" w:hAnsi="Open Sans"/>
          <w:b/>
          <w:bCs/>
          <w:color w:val="F67D4B"/>
          <w:sz w:val="22"/>
          <w:szCs w:val="22"/>
        </w:rPr>
        <w:t xml:space="preserve">14</w:t>
      </w:r>
      <w:r>
        <w:rPr>
          <w:rFonts w:ascii="Open Sans" w:cs="Open Sans" w:eastAsia="Open Sans" w:hAnsi="Open Sans"/>
          <w:b w:val="false"/>
          <w:bCs w:val="false"/>
          <w:color w:val="1A1A2E"/>
          <w:sz w:val="22"/>
          <w:szCs w:val="22"/>
        </w:rPr>
        <w:t xml:space="preserve">	Questions to Complete the Analysis</w:t>
      </w:r>
      <w:r>
        <w:rPr>
          <w:rFonts w:ascii="Open Sans" w:cs="Open Sans" w:eastAsia="Open Sans" w:hAnsi="Open Sans"/>
          <w:color w:val="1A1A2E"/>
          <w:sz w:val="22"/>
          <w:szCs w:val="22"/>
        </w:rPr>
        <w:t xml:space="preserve">	30–31</w:t>
      </w:r>
    </w:p>
    <w:p>
      <w:pPr>
        <w:tabs>
          <w:tab w:val="left" w:pos="600"/>
          <w:tab w:val="right" w:pos="9360" w:leader="dot"/>
        </w:tabs>
        <w:spacing w:after="50" w:before="50"/>
      </w:pPr>
      <w:r>
        <w:rPr>
          <w:rFonts w:ascii="Open Sans" w:cs="Open Sans" w:eastAsia="Open Sans" w:hAnsi="Open Sans"/>
          <w:b/>
          <w:bCs/>
          <w:color w:val="F67D4B"/>
          <w:sz w:val="22"/>
          <w:szCs w:val="22"/>
        </w:rPr>
        <w:t xml:space="preserve">15</w:t>
      </w:r>
      <w:r>
        <w:rPr>
          <w:rFonts w:ascii="Open Sans" w:cs="Open Sans" w:eastAsia="Open Sans" w:hAnsi="Open Sans"/>
          <w:b w:val="false"/>
          <w:bCs w:val="false"/>
          <w:color w:val="1A1A2E"/>
          <w:sz w:val="22"/>
          <w:szCs w:val="22"/>
        </w:rPr>
        <w:t xml:space="preserve">	What Happens Next</w:t>
      </w:r>
      <w:r>
        <w:rPr>
          <w:rFonts w:ascii="Open Sans" w:cs="Open Sans" w:eastAsia="Open Sans" w:hAnsi="Open Sans"/>
          <w:color w:val="1A1A2E"/>
          <w:sz w:val="22"/>
          <w:szCs w:val="22"/>
        </w:rPr>
        <w:t xml:space="preserve">	32</w:t>
      </w:r>
    </w:p>
    <w:p>
      <w:pPr>
        <w:tabs>
          <w:tab w:val="left" w:pos="600"/>
          <w:tab w:val="right" w:pos="9360" w:leader="dot"/>
        </w:tabs>
        <w:spacing w:after="50" w:before="50"/>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About Technijian</w:t>
      </w:r>
      <w:r>
        <w:rPr>
          <w:rFonts w:ascii="Open Sans" w:cs="Open Sans" w:eastAsia="Open Sans" w:hAnsi="Open Sans"/>
          <w:color w:val="1A1A2E"/>
          <w:sz w:val="22"/>
          <w:szCs w:val="22"/>
        </w:rPr>
        <w:t xml:space="preserve">	33</w:t>
      </w:r>
    </w:p>
    <w:p>
      <w:pPr>
        <w:tabs>
          <w:tab w:val="left" w:pos="600"/>
          <w:tab w:val="right" w:pos="9360" w:leader="dot"/>
        </w:tabs>
        <w:spacing w:after="50" w:before="50"/>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Appendix — Sources &amp; What Remains to Confirm</w:t>
      </w:r>
      <w:r>
        <w:rPr>
          <w:rFonts w:ascii="Open Sans" w:cs="Open Sans" w:eastAsia="Open Sans" w:hAnsi="Open Sans"/>
          <w:color w:val="1A1A2E"/>
          <w:sz w:val="22"/>
          <w:szCs w:val="22"/>
        </w:rPr>
        <w:t xml:space="preserve">	34–35</w:t>
      </w:r>
    </w:p>
    <w:p>
      <w:pPr>
        <w:pStyle w:val="Heading1"/>
        <w:keepNext/>
        <w:pageBreakBefore/>
        <w:spacing w:after="120" w:before="0" w:line="240"/>
      </w:pPr>
      <w:r>
        <w:rPr>
          <w:rFonts w:ascii="Open Sans" w:cs="Open Sans" w:eastAsia="Open Sans" w:hAnsi="Open Sans"/>
          <w:color w:val="FFFFFF"/>
          <w:sz w:val="2"/>
          <w:szCs w:val="2"/>
        </w:rPr>
        <w:t xml:space="preserve">How to Read This Blueprint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How to Read This Blueprint</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First — this is not about replacing your network team</w:t>
            </w:r>
          </w:p>
          <w:p>
            <w:pPr>
              <w:keepNext/>
              <w:keepLines/>
              <w:spacing w:after="60" w:before="40" w:line="300"/>
            </w:pPr>
            <w:r>
              <w:rPr>
                <w:rFonts w:ascii="Open Sans" w:cs="Open Sans" w:eastAsia="Open Sans" w:hAnsi="Open Sans"/>
                <w:color w:val="59595B"/>
                <w:sz w:val="20"/>
                <w:szCs w:val="20"/>
              </w:rPr>
              <w:t xml:space="preserve">When we first reached out, you told us you already have your network team in place. Good — keep them. This blueprint is not a managed-IT or network proposal, and nothing in it asks you to change who supports your systems.</w:t>
            </w:r>
          </w:p>
          <w:p>
            <w:pPr>
              <w:keepNext w:val="false"/>
              <w:keepLines/>
              <w:spacing w:after="60" w:before="40" w:line="300"/>
            </w:pPr>
            <w:r>
              <w:rPr>
                <w:rFonts w:ascii="Open Sans" w:cs="Open Sans" w:eastAsia="Open Sans" w:hAnsi="Open Sans"/>
                <w:color w:val="59595B"/>
                <w:sz w:val="20"/>
                <w:szCs w:val="20"/>
              </w:rPr>
              <w:t xml:space="preserve">It is about something different: using AI to help Alexandria House raise more money, win more grants, reach families in Spanish as well as English, and give staff hours back to the mission. That is work your IT team does not do — and it is where a small, donation-funded organization gains the most.</w:t>
            </w:r>
          </w:p>
        </w:tc>
      </w:tr>
    </w:tbl>
    <w:p>
      <w:pPr>
        <w:spacing w:after="120" w:before="120" w:line="320"/>
        <w:jc w:val="both"/>
      </w:pPr>
      <w:r>
        <w:rPr>
          <w:rFonts w:ascii="Open Sans" w:cs="Open Sans" w:eastAsia="Open Sans" w:hAnsi="Open Sans"/>
          <w:b w:val="false"/>
          <w:bCs w:val="false"/>
          <w:i w:val="false"/>
          <w:iCs w:val="false"/>
          <w:color w:val="59595B"/>
          <w:sz w:val="22"/>
          <w:szCs w:val="22"/>
        </w:rPr>
        <w:t xml:space="preserve">This blueprint was prepared from public research, before any conversation about your internal numbers or systems. It holds itself to a simple discipline:</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reports verified facts. </w:t>
      </w:r>
      <w:r>
        <w:rPr>
          <w:rFonts w:ascii="Open Sans" w:cs="Open Sans" w:eastAsia="Open Sans" w:hAnsi="Open Sans"/>
          <w:b w:val="false"/>
          <w:bCs w:val="false"/>
          <w:i w:val="false"/>
          <w:iCs w:val="false"/>
          <w:color w:val="59595B"/>
          <w:sz w:val="22"/>
          <w:szCs w:val="22"/>
        </w:rPr>
        <w:t xml:space="preserve">Everything stated about Alexandria House is drawn from your own website, your IRS Form 990, reputable press, and partner sites, and is cited in the Appendix. Where a figure is something the organization reports about itself, we say so.</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labels every estimate. </w:t>
      </w:r>
      <w:r>
        <w:rPr>
          <w:rFonts w:ascii="Open Sans" w:cs="Open Sans" w:eastAsia="Open Sans" w:hAnsi="Open Sans"/>
          <w:b w:val="false"/>
          <w:bCs w:val="false"/>
          <w:i w:val="false"/>
          <w:iCs w:val="false"/>
          <w:color w:val="59595B"/>
          <w:sz w:val="22"/>
          <w:szCs w:val="22"/>
        </w:rPr>
        <w:t xml:space="preserve">Sector statistics and ranges are clearly marked as market context — never presented as your results. The numbers that matter for a plan come from a short discovery conversation.</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turns unknowns into questions. </w:t>
      </w:r>
      <w:r>
        <w:rPr>
          <w:rFonts w:ascii="Open Sans" w:cs="Open Sans" w:eastAsia="Open Sans" w:hAnsi="Open Sans"/>
          <w:b w:val="false"/>
          <w:bCs w:val="false"/>
          <w:i w:val="false"/>
          <w:iCs w:val="false"/>
          <w:color w:val="59595B"/>
          <w:sz w:val="22"/>
          <w:szCs w:val="22"/>
        </w:rPr>
        <w:t xml:space="preserve">Where an answer requires information only your team has, we ask rather than guess. Section 14 is a structured questionnaire that completes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A few corrections we made for accuracy</w:t>
            </w:r>
          </w:p>
          <w:p>
            <w:pPr>
              <w:keepNext/>
              <w:keepLines/>
              <w:spacing w:after="60" w:before="40" w:line="300"/>
            </w:pPr>
            <w:r>
              <w:rPr>
                <w:rFonts w:ascii="Open Sans" w:cs="Open Sans" w:eastAsia="Open Sans" w:hAnsi="Open Sans"/>
                <w:color w:val="59595B"/>
                <w:sz w:val="20"/>
                <w:szCs w:val="20"/>
              </w:rPr>
              <w:t xml:space="preserve">There is a separate organization, Alexandra House, Inc. in Anoka County, Minnesota (note the spelling) — a different nonprofit. We discarded every Minnesota figure that surfaced in research so none of it is mistaken for yours.</w:t>
            </w:r>
          </w:p>
          <w:p>
            <w:pPr>
              <w:keepNext/>
              <w:keepLines/>
              <w:spacing w:after="60" w:before="40" w:line="300"/>
            </w:pPr>
            <w:r>
              <w:rPr>
                <w:rFonts w:ascii="Open Sans" w:cs="Open Sans" w:eastAsia="Open Sans" w:hAnsi="Open Sans"/>
                <w:color w:val="59595B"/>
                <w:sz w:val="20"/>
                <w:szCs w:val="20"/>
              </w:rPr>
              <w:t xml:space="preserve">We also confirmed your founder, Sister Judy Vaughan, is a Sister of St. Joseph of Carondelet (CSJ), and corrected a circulating mix-up with another order. And we set aside one outsized single-year revenue figure in a public database that appears to be a data artifact rather than a real number.</w:t>
            </w:r>
          </w:p>
          <w:p>
            <w:pPr>
              <w:keepNext w:val="false"/>
              <w:keepLines/>
              <w:spacing w:after="60" w:before="40" w:line="300"/>
            </w:pPr>
            <w:r>
              <w:rPr>
                <w:rFonts w:ascii="Open Sans" w:cs="Open Sans" w:eastAsia="Open Sans" w:hAnsi="Open Sans"/>
                <w:color w:val="59595B"/>
                <w:sz w:val="20"/>
                <w:szCs w:val="20"/>
              </w:rPr>
              <w:t xml:space="preserve">That is the standard of evidence you should expect from every Technijian deliverable.</w:t>
            </w:r>
          </w:p>
        </w:tc>
      </w:tr>
    </w:tbl>
    <w:p>
      <w:pPr>
        <w:pStyle w:val="Heading1"/>
        <w:keepNext/>
        <w:pageBreakBefore/>
        <w:spacing w:after="120" w:before="0" w:line="240"/>
      </w:pPr>
      <w:r>
        <w:rPr>
          <w:rFonts w:ascii="Open Sans" w:cs="Open Sans" w:eastAsia="Open Sans" w:hAnsi="Open Sans"/>
          <w:color w:val="FFFFFF"/>
          <w:sz w:val="2"/>
          <w:szCs w:val="2"/>
        </w:rPr>
        <w:t xml:space="preserve">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Executive Summary</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Since 1996, Alexandria House has been a transitional residence and house of hospitality for women and children moving out of homelessness in central Los Angeles — and a neighborhood center for the surrounding Mid-Wilshire and Koreatown community. Founded by Sister Judy Vaughan, CSJ, it surrounds families with what it calls a Circle of Support across six areas of stability: housing, economic opportunity, food security, child care, social-emotional wellness, and lifelong alumni support. By your own count, the organization has welcomed 200 women and families — including 315 children — and reports that more than 92% of families who complete the program remain in permanent housing.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6"/>
                <w:szCs w:val="46"/>
              </w:rPr>
              <w:t xml:space="preserve">1996</w:t>
            </w:r>
          </w:p>
          <w:p>
            <w:pPr>
              <w:jc w:val="center"/>
            </w:pPr>
            <w:r>
              <w:rPr>
                <w:rFonts w:ascii="Open Sans" w:cs="Open Sans" w:eastAsia="Open Sans" w:hAnsi="Open Sans"/>
                <w:color w:val="59595B"/>
                <w:sz w:val="16"/>
                <w:szCs w:val="16"/>
              </w:rPr>
              <w:t xml:space="preserve">Founded · Sister Judy Vaughan, CSJ</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6"/>
                <w:szCs w:val="46"/>
              </w:rPr>
              <w:t xml:space="preserve">315</w:t>
            </w:r>
          </w:p>
          <w:p>
            <w:pPr>
              <w:jc w:val="center"/>
            </w:pPr>
            <w:r>
              <w:rPr>
                <w:rFonts w:ascii="Open Sans" w:cs="Open Sans" w:eastAsia="Open Sans" w:hAnsi="Open Sans"/>
                <w:color w:val="59595B"/>
                <w:sz w:val="16"/>
                <w:szCs w:val="16"/>
              </w:rPr>
              <w:t xml:space="preserve">Children served since 1996 (org-reported)</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6"/>
                <w:szCs w:val="46"/>
              </w:rPr>
              <w:t xml:space="preserve">~83%</w:t>
            </w:r>
          </w:p>
          <w:p>
            <w:pPr>
              <w:jc w:val="center"/>
            </w:pPr>
            <w:r>
              <w:rPr>
                <w:rFonts w:ascii="Open Sans" w:cs="Open Sans" w:eastAsia="Open Sans" w:hAnsi="Open Sans"/>
                <w:color w:val="59595B"/>
                <w:sz w:val="16"/>
                <w:szCs w:val="16"/>
              </w:rPr>
              <w:t xml:space="preserve">Revenue from contributions &amp; grants (FY2024)</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28A745"/>
                <w:sz w:val="46"/>
                <w:szCs w:val="46"/>
              </w:rPr>
              <w:t xml:space="preserve">&gt;92%</w:t>
            </w:r>
          </w:p>
          <w:p>
            <w:pPr>
              <w:jc w:val="center"/>
            </w:pPr>
            <w:r>
              <w:rPr>
                <w:rFonts w:ascii="Open Sans" w:cs="Open Sans" w:eastAsia="Open Sans" w:hAnsi="Open Sans"/>
                <w:color w:val="59595B"/>
                <w:sz w:val="16"/>
                <w:szCs w:val="16"/>
              </w:rPr>
              <w:t xml:space="preserve">Families retained in housing (org-reported)</w:t>
            </w:r>
          </w:p>
        </w:tc>
      </w:tr>
    </w:tbl>
    <w:p>
      <w:pPr>
        <w:keepNext/>
        <w:spacing w:after="0" w:before="16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This blueprint shows where AI creates real, measurable value for an organization like yours — and it starts from an honest reading of your position. Alexandria House is not technologically lost: you run a capable all-in-one platform, an active Instagram audience of roughly 15,000, modern event fundraising, and you carry a Charity Navigator rating and a transparency seal. What you are is capacity-constrained and donation-dependent, and that is exactly where AI helps most.</w:t>
      </w:r>
    </w:p>
    <w:p>
      <w:pPr>
        <w:spacing w:after="120" w:before="0" w:line="320"/>
        <w:jc w:val="both"/>
      </w:pPr>
      <w:r>
        <w:rPr>
          <w:rFonts w:ascii="Open Sans" w:cs="Open Sans" w:eastAsia="Open Sans" w:hAnsi="Open Sans"/>
          <w:b/>
          <w:bCs/>
          <w:i w:val="false"/>
          <w:iCs w:val="false"/>
          <w:color w:val="1A1A2E"/>
          <w:sz w:val="22"/>
          <w:szCs w:val="22"/>
        </w:rPr>
        <w:t xml:space="preserve">The pressure is real and current. </w:t>
      </w:r>
      <w:r>
        <w:rPr>
          <w:rFonts w:ascii="Open Sans" w:cs="Open Sans" w:eastAsia="Open Sans" w:hAnsi="Open Sans"/>
          <w:b w:val="false"/>
          <w:bCs w:val="false"/>
          <w:i w:val="false"/>
          <w:iCs w:val="false"/>
          <w:color w:val="59595B"/>
          <w:sz w:val="22"/>
          <w:szCs w:val="22"/>
        </w:rPr>
        <w:t xml:space="preserve">In FY2024 roughly 83% of revenue came from contributions and grants, and the organization spent more than it took in for the year while scaling a newly acquired 39-unit building. At the same time, the public funding environment tightened sharply — in June 2026 HUD suspended federal homelessness funding flowing through the regional agency. For a donation-funded mission, deepening private and grant support is no longer optional.</w:t>
      </w:r>
    </w:p>
    <w:p>
      <w:pPr>
        <w:spacing w:after="120" w:before="0" w:line="320"/>
        <w:jc w:val="both"/>
      </w:pPr>
      <w:r>
        <w:rPr>
          <w:rFonts w:ascii="Open Sans" w:cs="Open Sans" w:eastAsia="Open Sans" w:hAnsi="Open Sans"/>
          <w:b/>
          <w:bCs/>
          <w:i w:val="false"/>
          <w:iCs w:val="false"/>
          <w:color w:val="1A1A2E"/>
          <w:sz w:val="22"/>
          <w:szCs w:val="22"/>
        </w:rPr>
        <w:t xml:space="preserve">The plan has two parts. </w:t>
      </w:r>
      <w:r>
        <w:rPr>
          <w:rFonts w:ascii="Open Sans" w:cs="Open Sans" w:eastAsia="Open Sans" w:hAnsi="Open Sans"/>
          <w:b w:val="false"/>
          <w:bCs w:val="false"/>
          <w:i w:val="false"/>
          <w:iCs w:val="false"/>
          <w:color w:val="59595B"/>
          <w:sz w:val="22"/>
          <w:szCs w:val="22"/>
        </w:rPr>
        <w:t xml:space="preserve">Grow support — AI helps research and draft grants, find and re-engage donors, and personalize bilingual appeals, so staff spend their scarce hours on the relationships and arguments that actually win gifts. Reach and serve better — a Spanish-language website your families can actually read, automated impact and funder reporting, and a volunteer chatbot that answers routine questions around the clock. Across both, the rule never changes: AI drafts and researches; a person verifies every claim and owns every relationship.</w:t>
      </w:r>
    </w:p>
    <w:p>
      <w:pPr>
        <w:spacing w:after="120" w:before="0" w:line="320"/>
        <w:jc w:val="both"/>
      </w:pPr>
      <w:r>
        <w:rPr>
          <w:rFonts w:ascii="Open Sans" w:cs="Open Sans" w:eastAsia="Open Sans" w:hAnsi="Open Sans"/>
          <w:b/>
          <w:bCs/>
          <w:i w:val="false"/>
          <w:iCs w:val="false"/>
          <w:color w:val="1A1A2E"/>
          <w:sz w:val="22"/>
          <w:szCs w:val="22"/>
        </w:rPr>
        <w:t xml:space="preserve">And it is built to be affordable. </w:t>
      </w:r>
      <w:r>
        <w:rPr>
          <w:rFonts w:ascii="Open Sans" w:cs="Open Sans" w:eastAsia="Open Sans" w:hAnsi="Open Sans"/>
          <w:b w:val="false"/>
          <w:bCs w:val="false"/>
          <w:i w:val="false"/>
          <w:iCs w:val="false"/>
          <w:color w:val="59595B"/>
          <w:sz w:val="22"/>
          <w:szCs w:val="22"/>
        </w:rPr>
        <w:t xml:space="preserve">Much of the enabling technology is free or granted to 501(c)(3) organizations — including up to $10,000 a month in free Google search advertising, free Google Workspace, and nonprofit-priced Microsoft tools. We scope the rest to your budget and grant cycles, and we model returns only after a discovery conversation gives us your real numbers (Section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one idea to carry into the conversation</w:t>
            </w:r>
          </w:p>
          <w:p>
            <w:pPr>
              <w:keepNext w:val="false"/>
              <w:keepLines/>
              <w:spacing w:after="60" w:before="40" w:line="300"/>
            </w:pPr>
            <w:r>
              <w:rPr>
                <w:rFonts w:ascii="Open Sans" w:cs="Open Sans" w:eastAsia="Open Sans" w:hAnsi="Open Sans"/>
                <w:color w:val="59595B"/>
                <w:sz w:val="20"/>
                <w:szCs w:val="20"/>
              </w:rPr>
              <w:t xml:space="preserve">Your network is handled. The missing piece is capacity — the time and reach to raise more and serve more without adding payroll. AI can let a small team do the work of a much larger development office: more grants pursued, more donors stewarded, families reached in their own language, and impact reported automatically — so more of every dollar reaches the women and children you serve.</w:t>
            </w:r>
          </w:p>
        </w:tc>
      </w:tr>
    </w:tbl>
    <w:p>
      <w:pPr>
        <w:pStyle w:val="Heading1"/>
        <w:keepNext/>
        <w:pageBreakBefore/>
        <w:spacing w:after="120" w:before="0" w:line="240"/>
      </w:pPr>
      <w:r>
        <w:rPr>
          <w:rFonts w:ascii="Open Sans" w:cs="Open Sans" w:eastAsia="Open Sans" w:hAnsi="Open Sans"/>
          <w:color w:val="FFFFFF"/>
          <w:sz w:val="2"/>
          <w:szCs w:val="2"/>
        </w:rPr>
        <w:t xml:space="preserve">01  The Organization &amp; Mission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The Organization &amp; Mission</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Everything in this section is drawn from Alexandria House’s own website, its IRS Form 990, reputable press, and partner organizations (see Appendix). Figures the organization reports about itself are attributed as such.</w:t>
      </w:r>
    </w:p>
    <w:p>
      <w:pPr>
        <w:pStyle w:val="Heading2"/>
        <w:keepNext/>
        <w:keepLines/>
        <w:spacing w:after="130" w:before="300"/>
      </w:pPr>
      <w:r>
        <w:rPr>
          <w:rFonts w:ascii="Open Sans" w:cs="Open Sans" w:eastAsia="Open Sans" w:hAnsi="Open Sans"/>
          <w:b/>
          <w:bCs/>
          <w:color w:val="006DB6"/>
          <w:sz w:val="27"/>
          <w:szCs w:val="27"/>
        </w:rPr>
        <w:t xml:space="preserve">A house of hospitality, and a neighborhood</w:t>
      </w:r>
    </w:p>
    <w:p>
      <w:pPr>
        <w:spacing w:after="120" w:before="0" w:line="320"/>
        <w:jc w:val="both"/>
      </w:pPr>
      <w:r>
        <w:rPr>
          <w:rFonts w:ascii="Open Sans" w:cs="Open Sans" w:eastAsia="Open Sans" w:hAnsi="Open Sans"/>
          <w:b w:val="false"/>
          <w:bCs w:val="false"/>
          <w:i w:val="false"/>
          <w:iCs w:val="false"/>
          <w:color w:val="59595B"/>
          <w:sz w:val="22"/>
          <w:szCs w:val="22"/>
        </w:rPr>
        <w:t xml:space="preserve">Alexandria House describes itself as a transitional residence and "house of hospitality" providing safe, supportive housing for women and children experiencing homelessness and trauma, helping them move from emergency shelter toward stability and permanent housing. It is also a neighborhood center for the surrounding community, and it carries a founding commitment to grassroots advocacy against systemic poverty. The organization describes itself as "intentionally multicultural and anti-racist," centered on the needs of women who are economically poor, and sums up its values as "Hope. Love. Healing."</w:t>
      </w:r>
    </w:p>
    <w:p>
      <w:pPr>
        <w:pStyle w:val="Heading2"/>
        <w:keepNext/>
        <w:keepLines/>
        <w:spacing w:after="130" w:before="300"/>
      </w:pPr>
      <w:r>
        <w:rPr>
          <w:rFonts w:ascii="Open Sans" w:cs="Open Sans" w:eastAsia="Open Sans" w:hAnsi="Open Sans"/>
          <w:b/>
          <w:bCs/>
          <w:color w:val="006DB6"/>
          <w:sz w:val="27"/>
          <w:szCs w:val="27"/>
        </w:rPr>
        <w:t xml:space="preserve">The Circle of Support</w:t>
      </w:r>
    </w:p>
    <w:p>
      <w:pPr>
        <w:spacing w:after="100" w:before="0" w:line="320"/>
        <w:jc w:val="both"/>
      </w:pPr>
      <w:r>
        <w:rPr>
          <w:rFonts w:ascii="Open Sans" w:cs="Open Sans" w:eastAsia="Open Sans" w:hAnsi="Open Sans"/>
          <w:b w:val="false"/>
          <w:bCs w:val="false"/>
          <w:i w:val="false"/>
          <w:iCs w:val="false"/>
          <w:color w:val="59595B"/>
          <w:sz w:val="22"/>
          <w:szCs w:val="22"/>
        </w:rPr>
        <w:t xml:space="preserve">The model of care is a "Circle of Support" that strengthens six essential areas of stability. It is a clear, compassionate framework — and, as later sections show, each area is also something a funder will pay to see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rPr>
          <w:tblHeader/>
        </w:trPr>
        <w:tc>
          <w:tcPr>
            <w:tcW w:type="dxa" w:w="262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Area of stability</w:t>
            </w:r>
          </w:p>
        </w:tc>
        <w:tc>
          <w:tcPr>
            <w:tcW w:type="dxa" w:w="674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means for a family</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Housing</w:t>
            </w:r>
          </w:p>
        </w:tc>
        <w:tc>
          <w:tcPr>
            <w:tcW w:type="dxa" w:w="674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Safe transitional and permanent affordable housing — the foundation everything else is built on.</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Economic opportunity</w:t>
            </w:r>
          </w:p>
        </w:tc>
        <w:tc>
          <w:tcPr>
            <w:tcW w:type="dxa" w:w="674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Job development and entrepreneurship, including the Start Up Sisterhood LA program.</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Food security</w:t>
            </w:r>
          </w:p>
        </w:tc>
        <w:tc>
          <w:tcPr>
            <w:tcW w:type="dxa" w:w="674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Food access and distribution for residents and the neighborhood.</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Child care</w:t>
            </w:r>
          </w:p>
        </w:tc>
        <w:tc>
          <w:tcPr>
            <w:tcW w:type="dxa" w:w="674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Child care plus afterschool and teen programming so parents can work and children can thrive.</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Social-emotional wellness</w:t>
            </w:r>
          </w:p>
        </w:tc>
        <w:tc>
          <w:tcPr>
            <w:tcW w:type="dxa" w:w="674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Free therapy, wellness, and support groups that help families heal from trauma.</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Lifelong alumni support</w:t>
            </w:r>
          </w:p>
        </w:tc>
        <w:tc>
          <w:tcPr>
            <w:tcW w:type="dxa" w:w="674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relationship that does not end at move-out — support that follows families forward.</w:t>
            </w:r>
          </w:p>
        </w:tc>
      </w:tr>
    </w:tbl>
    <w:p>
      <w:pPr>
        <w:pStyle w:val="Heading2"/>
        <w:keepNext/>
        <w:keepLines/>
        <w:spacing w:after="130" w:before="300"/>
      </w:pPr>
      <w:r>
        <w:rPr>
          <w:rFonts w:ascii="Open Sans" w:cs="Open Sans" w:eastAsia="Open Sans" w:hAnsi="Open Sans"/>
          <w:b/>
          <w:bCs/>
          <w:color w:val="006DB6"/>
          <w:sz w:val="27"/>
          <w:szCs w:val="27"/>
        </w:rPr>
        <w:t xml:space="preserve">Footprint, leadership, and scale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tblHeader/>
        </w:trPr>
        <w:tc>
          <w:tcPr>
            <w:tcW w:type="dxa" w:w="2433"/>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Attribute</w:t>
            </w:r>
          </w:p>
        </w:tc>
        <w:tc>
          <w:tcPr>
            <w:tcW w:type="dxa" w:w="6927"/>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Verified fact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Founded</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1996, by Sister Judy Vaughan, CSJ (Sisters of St. Joseph of Carondelet), with about a dozen women. IRS 501(c)(3) recognition followed in March 2001. EIN 95-4809755; fiscal year ends June 30.</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Location</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Main campus at 426 S. Alexandria Ave., Los Angeles, CA 90020 (Mid-Wilshire / Koreatown). Phone (213) 381-2649.</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Housing</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transitional residence plus permanent affordable housing: a 16-unit building (510 S. Alexandria Ave., completed 2009 with Hollywood Community Housing Corporation) and a 39-unit building (Kenmore Apartments, acquired February 2022).</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Leadership</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Marissa Espinoza, MA, Executive Director (since July 2022; previously with Covenant House California and Casa Pacifica). Sister Judy Vaughan, CSJ, Founding Director. Aletheia Broom, MPA, Associate Director of Programs &amp; Services.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Impact (org-reported)</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200 women and families, including 315 children, welcomed since 1996; more than 92% of families who complete the program remain in permanent housing. These are figures Alexandria House reports about itself.</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Recognition</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Charity Navigator score of 86% (three stars, accountability beacon) and a transparency seal; member of CalNonprofits.</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What we have NOT assumed</w:t>
            </w:r>
          </w:p>
          <w:p>
            <w:pPr>
              <w:keepNext w:val="false"/>
              <w:keepLines/>
              <w:spacing w:after="60" w:before="40" w:line="300"/>
            </w:pPr>
            <w:r>
              <w:rPr>
                <w:rFonts w:ascii="Open Sans" w:cs="Open Sans" w:eastAsia="Open Sans" w:hAnsi="Open Sans"/>
                <w:color w:val="59595B"/>
                <w:sz w:val="20"/>
                <w:szCs w:val="20"/>
              </w:rPr>
              <w:t xml:space="preserve">We do not know, and have not guessed: your current annual count of women, children, and families served; your current transitional-bed count; your present mix of government, foundation, and individual funding; your board roster; or how grant writing, donor management, and reporting are handled today. These are the questions in Section 14.</w:t>
            </w:r>
          </w:p>
        </w:tc>
      </w:tr>
    </w:tbl>
    <w:p>
      <w:pPr>
        <w:pStyle w:val="Heading1"/>
        <w:keepNext/>
        <w:pageBreakBefore/>
        <w:spacing w:after="120" w:before="0" w:line="240"/>
      </w:pPr>
      <w:r>
        <w:rPr>
          <w:rFonts w:ascii="Open Sans" w:cs="Open Sans" w:eastAsia="Open Sans" w:hAnsi="Open Sans"/>
          <w:color w:val="FFFFFF"/>
          <w:sz w:val="2"/>
          <w:szCs w:val="2"/>
        </w:rPr>
        <w:t xml:space="preserve">02  How Alexandria House Creates &amp; Sustains Impact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How Alexandria House Creates &amp; Sustains Impact</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nonprofit runs on a cycle: support comes in, programs turn it into outcomes for families, and those outcomes — told well and measured honestly — bring in more support. AI can strengthen every stage of that cycle without changing the human heart of the work.</w:t>
      </w:r>
    </w:p>
    <w:p>
      <w:pPr>
        <w:keepNext/>
        <w:spacing w:after="60" w:before="120"/>
        <w:jc w:val="center"/>
      </w:pPr>
      <w:r>
        <w:drawing>
          <wp:inline distT="0" distB="0" distL="0" distR="0">
            <wp:extent cx="5829300" cy="3267075"/>
            <wp:effectExtent t="0" r="0" b="0" l="0"/>
            <wp:docPr id="1" name="How Alexandria House creates and sustains impact" descr="How Alexandria House creates and sustains impact" title="How Alexandria House creates and sustains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32670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02.0 — Support in (left), the Circle of Support (center), outcomes for families (right). The orange band shows where AI plugs in — assisting people, never replacing the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305"/>
        <w:gridCol w:w="2809"/>
      </w:tblGrid>
      <w:tr>
        <w:trPr>
          <w:tblHeader/>
        </w:trPr>
        <w:tc>
          <w:tcPr>
            <w:tcW w:type="dxa" w:w="2246"/>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Stage</w:t>
            </w:r>
          </w:p>
        </w:tc>
        <w:tc>
          <w:tcPr>
            <w:tcW w:type="dxa" w:w="4305"/>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is today</w:t>
            </w:r>
          </w:p>
        </w:tc>
        <w:tc>
          <w:tcPr>
            <w:tcW w:type="dxa" w:w="2809"/>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Where AI helps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EAAC8"/>
                <w:sz w:val="19"/>
                <w:szCs w:val="19"/>
              </w:rPr>
              <w:t xml:space="preserve">Support in</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Individual and monthly donors, foundations and grants, events, and in-kind gifts — roughly 83% of revenue is contributions and grants (FY2024).</w:t>
            </w:r>
          </w:p>
        </w:tc>
        <w:tc>
          <w:tcPr>
            <w:tcW w:type="dxa" w:w="280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Grant &amp; donor intelligence; bilingual appeals.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A1A2E"/>
                <w:sz w:val="19"/>
                <w:szCs w:val="19"/>
              </w:rPr>
              <w:t xml:space="preserve">Programs</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Circle of Support delivered through housing, child care, SUSLA, food, wellness, and alumni programs.</w:t>
            </w:r>
          </w:p>
        </w:tc>
        <w:tc>
          <w:tcPr>
            <w:tcW w:type="dxa" w:w="280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Volunteer &amp; inquiry automation; staff time recovered.</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Outcomes</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Stable housing, economic opportunity, thriving children, and a lasting alumni community.</w:t>
            </w:r>
          </w:p>
        </w:tc>
        <w:tc>
          <w:tcPr>
            <w:tcW w:type="dxa" w:w="280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Impact measurement; consistent funder reporting.</w:t>
            </w:r>
          </w:p>
        </w:tc>
      </w:tr>
    </w:tbl>
    <w:p>
      <w:pPr>
        <w:keepNext/>
        <w:spacing w:after="0" w:before="8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The platform you already run is the anchor. </w:t>
      </w:r>
      <w:r>
        <w:rPr>
          <w:rFonts w:ascii="Open Sans" w:cs="Open Sans" w:eastAsia="Open Sans" w:hAnsi="Open Sans"/>
          <w:b w:val="false"/>
          <w:bCs w:val="false"/>
          <w:i w:val="false"/>
          <w:iCs w:val="false"/>
          <w:color w:val="59595B"/>
          <w:sz w:val="22"/>
          <w:szCs w:val="22"/>
        </w:rPr>
        <w:t xml:space="preserve">Your website, donor records, email, and donate forms run on a single all-in-one nonprofit platform, with event fundraising on a second tool. That matters for the plan: the highest-value AI here does not replace those systems — it works alongside them, so staff keep using the tools they trust while AI removes the repetitive work around them.</w:t>
      </w:r>
    </w:p>
    <w:p>
      <w:pPr>
        <w:pStyle w:val="Heading1"/>
        <w:keepNext/>
        <w:pageBreakBefore/>
        <w:spacing w:after="120" w:before="0" w:line="240"/>
      </w:pPr>
      <w:r>
        <w:rPr>
          <w:rFonts w:ascii="Open Sans" w:cs="Open Sans" w:eastAsia="Open Sans" w:hAnsi="Open Sans"/>
          <w:color w:val="FFFFFF"/>
          <w:sz w:val="2"/>
          <w:szCs w:val="2"/>
        </w:rPr>
        <w:t xml:space="preserve">03  The Nonprofit Funding &amp; AI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The Nonprofit Funding &amp; AI Landscape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The forces below are facts about the environment a small social-services nonprofit operates in — not claims about Alexandria House. Each one rewards better information, faster writing, and broader reach. Sources are in the Appendix.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6"/>
                <w:szCs w:val="46"/>
              </w:rPr>
              <w:t xml:space="preserve">54%</w:t>
            </w:r>
          </w:p>
          <w:p>
            <w:pPr>
              <w:jc w:val="center"/>
            </w:pPr>
            <w:r>
              <w:rPr>
                <w:rFonts w:ascii="Open Sans" w:cs="Open Sans" w:eastAsia="Open Sans" w:hAnsi="Open Sans"/>
                <w:color w:val="59595B"/>
                <w:sz w:val="16"/>
                <w:szCs w:val="16"/>
              </w:rPr>
              <w:t xml:space="preserve">of nonprofit revenue comes from individual donors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6"/>
                <w:szCs w:val="46"/>
              </w:rPr>
              <w:t xml:space="preserve">~⅔</w:t>
            </w:r>
          </w:p>
          <w:p>
            <w:pPr>
              <w:jc w:val="center"/>
            </w:pPr>
            <w:r>
              <w:rPr>
                <w:rFonts w:ascii="Open Sans" w:cs="Open Sans" w:eastAsia="Open Sans" w:hAnsi="Open Sans"/>
                <w:color w:val="59595B"/>
                <w:sz w:val="16"/>
                <w:szCs w:val="16"/>
              </w:rPr>
              <w:t xml:space="preserve">of grant-seekers win only $5K–$15K per year</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6"/>
                <w:szCs w:val="46"/>
              </w:rPr>
              <w:t xml:space="preserve">76%</w:t>
            </w:r>
          </w:p>
          <w:p>
            <w:pPr>
              <w:jc w:val="center"/>
            </w:pPr>
            <w:r>
              <w:rPr>
                <w:rFonts w:ascii="Open Sans" w:cs="Open Sans" w:eastAsia="Open Sans" w:hAnsi="Open Sans"/>
                <w:color w:val="59595B"/>
                <w:sz w:val="16"/>
                <w:szCs w:val="16"/>
              </w:rPr>
              <w:t xml:space="preserve">of nonprofits have no AI strategy or policy</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6"/>
                <w:szCs w:val="46"/>
              </w:rPr>
              <w:t xml:space="preserve">13%</w:t>
            </w:r>
          </w:p>
          <w:p>
            <w:pPr>
              <w:jc w:val="center"/>
            </w:pPr>
            <w:r>
              <w:rPr>
                <w:rFonts w:ascii="Open Sans" w:cs="Open Sans" w:eastAsia="Open Sans" w:hAnsi="Open Sans"/>
                <w:color w:val="59595B"/>
                <w:sz w:val="16"/>
                <w:szCs w:val="16"/>
              </w:rPr>
              <w:t xml:space="preserve">use predictive AI for donor prospecting</w:t>
            </w:r>
          </w:p>
        </w:tc>
      </w:tr>
    </w:tbl>
    <w:p>
      <w:pPr>
        <w:keepNext/>
        <w:spacing w:after="0" w:before="150"/>
      </w:pPr>
      <w:r>
        <w:t xml:space="preserve"/>
      </w:r>
    </w:p>
    <w:p>
      <w:pPr>
        <w:pStyle w:val="Heading3"/>
        <w:keepNext/>
        <w:spacing w:after="90" w:before="220"/>
      </w:pPr>
      <w:r>
        <w:rPr>
          <w:rFonts w:ascii="Open Sans" w:cs="Open Sans" w:eastAsia="Open Sans" w:hAnsi="Open Sans"/>
          <w:b/>
          <w:bCs/>
          <w:color w:val="1A1A2E"/>
          <w:sz w:val="24"/>
          <w:szCs w:val="24"/>
        </w:rPr>
        <w:t xml:space="preserve">Individual giving is the engine — and it can be grown</w:t>
      </w:r>
    </w:p>
    <w:p>
      <w:pPr>
        <w:spacing w:after="120" w:before="0" w:line="320"/>
        <w:jc w:val="both"/>
      </w:pPr>
      <w:r>
        <w:rPr>
          <w:rFonts w:ascii="Open Sans" w:cs="Open Sans" w:eastAsia="Open Sans" w:hAnsi="Open Sans"/>
          <w:b w:val="false"/>
          <w:bCs w:val="false"/>
          <w:i w:val="false"/>
          <w:iCs w:val="false"/>
          <w:color w:val="59595B"/>
          <w:sz w:val="22"/>
          <w:szCs w:val="22"/>
        </w:rPr>
        <w:t xml:space="preserve">Across the sector, individual donors drive roughly 54% of nonprofit revenue, far more than grants at about 22% (BryteBridge, 2024). For an organization where contributions and grants are about 83% of revenue, that is the central fact: the fastest, most durable growth comes from finding, keeping, and deepening relationships with individual donors — exactly the work AI can accelerate without replacing the personal touch.</w:t>
      </w:r>
    </w:p>
    <w:p>
      <w:pPr>
        <w:pStyle w:val="Heading3"/>
        <w:keepNext/>
        <w:spacing w:after="90" w:before="220"/>
      </w:pPr>
      <w:r>
        <w:rPr>
          <w:rFonts w:ascii="Open Sans" w:cs="Open Sans" w:eastAsia="Open Sans" w:hAnsi="Open Sans"/>
          <w:b/>
          <w:bCs/>
          <w:color w:val="1A1A2E"/>
          <w:sz w:val="24"/>
          <w:szCs w:val="24"/>
        </w:rPr>
        <w:t xml:space="preserve">Grants are slow, competitive, and rewarded by preparation</w:t>
      </w:r>
    </w:p>
    <w:p>
      <w:pPr>
        <w:spacing w:after="120" w:before="0" w:line="320"/>
        <w:jc w:val="both"/>
      </w:pPr>
      <w:r>
        <w:rPr>
          <w:rFonts w:ascii="Open Sans" w:cs="Open Sans" w:eastAsia="Open Sans" w:hAnsi="Open Sans"/>
          <w:b w:val="false"/>
          <w:bCs w:val="false"/>
          <w:i w:val="false"/>
          <w:iCs w:val="false"/>
          <w:color w:val="59595B"/>
          <w:sz w:val="22"/>
          <w:szCs w:val="22"/>
        </w:rPr>
        <w:t xml:space="preserve">Most small nonprofits pursue grants, but the yield is hard-won: around two-thirds of grant-seekers secure only $5,000–$15,000 a year, the average time to a first grant is over two years, and roughly four in ten organizations are not "grant-ready" when opportunities appear (BryteBridge, 2024). The differentiator is preparation — a ready library of vetted facts and outcomes, and the capacity to draft quickly. That is precisely where AI assistance pays off, and about a quarter of nonprofits already use it for grant writing (TechSoup, 2025).</w:t>
      </w:r>
    </w:p>
    <w:p>
      <w:pPr>
        <w:pStyle w:val="Heading3"/>
        <w:keepNext/>
        <w:spacing w:after="90" w:before="220"/>
      </w:pPr>
      <w:r>
        <w:rPr>
          <w:rFonts w:ascii="Open Sans" w:cs="Open Sans" w:eastAsia="Open Sans" w:hAnsi="Open Sans"/>
          <w:b/>
          <w:bCs/>
          <w:color w:val="1A1A2E"/>
          <w:sz w:val="24"/>
          <w:szCs w:val="24"/>
        </w:rPr>
        <w:t xml:space="preserve">A real early-mover window in AI</w:t>
      </w:r>
    </w:p>
    <w:p>
      <w:pPr>
        <w:spacing w:after="120" w:before="0" w:line="320"/>
        <w:jc w:val="both"/>
      </w:pPr>
      <w:r>
        <w:rPr>
          <w:rFonts w:ascii="Open Sans" w:cs="Open Sans" w:eastAsia="Open Sans" w:hAnsi="Open Sans"/>
          <w:b w:val="false"/>
          <w:bCs w:val="false"/>
          <w:i w:val="false"/>
          <w:iCs w:val="false"/>
          <w:color w:val="59595B"/>
          <w:sz w:val="22"/>
          <w:szCs w:val="22"/>
        </w:rPr>
        <w:t xml:space="preserve">Awareness is high but execution is low: 96% of nonprofits report a basic understanding of AI, yet 76% have no AI strategy and 76% have no AI policy (TechSoup × Tapp Network, 2025). About 30% say AI boosted fundraising revenue in the past year, while only 13% use predictive AI to find likely donors. The honest caveat: high tool use has not automatically meant high impact — which is exactly why a small organization benefits from a structured, guardrailed plan rather than ad-hoc experimentation.</w:t>
      </w:r>
    </w:p>
    <w:p>
      <w:pPr>
        <w:pStyle w:val="Heading3"/>
        <w:keepNext/>
        <w:spacing w:after="90" w:before="220"/>
      </w:pPr>
      <w:r>
        <w:rPr>
          <w:rFonts w:ascii="Open Sans" w:cs="Open Sans" w:eastAsia="Open Sans" w:hAnsi="Open Sans"/>
          <w:b/>
          <w:bCs/>
          <w:color w:val="1A1A2E"/>
          <w:sz w:val="24"/>
          <w:szCs w:val="24"/>
        </w:rPr>
        <w:t xml:space="preserve">The public-funding ground is shifting</w:t>
      </w:r>
    </w:p>
    <w:p>
      <w:pPr>
        <w:spacing w:after="120" w:before="0" w:line="320"/>
        <w:jc w:val="both"/>
      </w:pPr>
      <w:r>
        <w:rPr>
          <w:rFonts w:ascii="Open Sans" w:cs="Open Sans" w:eastAsia="Open Sans" w:hAnsi="Open Sans"/>
          <w:b w:val="false"/>
          <w:bCs w:val="false"/>
          <w:i w:val="false"/>
          <w:iCs w:val="false"/>
          <w:color w:val="59595B"/>
          <w:sz w:val="22"/>
          <w:szCs w:val="22"/>
        </w:rPr>
        <w:t xml:space="preserve">The environment for homelessness funding tightened sharply in 2026: HUD suspended federal homelessness funds flowing through the Los Angeles regional agency (LAHSA) amid a fraud-and-mismanagement review. We have not confirmed whether Alexandria House currently receives LAHSA pass-through funding — that is a discovery question — but the direction of travel is unambiguous: organizations that diversify and deepen private and grant support are the ones best insulated from public-funding shocks.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Why this matters for an AI plan</w:t>
            </w:r>
          </w:p>
          <w:p>
            <w:pPr>
              <w:keepNext w:val="false"/>
              <w:keepLines/>
              <w:spacing w:after="60" w:before="40" w:line="300"/>
            </w:pPr>
            <w:r>
              <w:rPr>
                <w:rFonts w:ascii="Open Sans" w:cs="Open Sans" w:eastAsia="Open Sans" w:hAnsi="Open Sans"/>
                <w:color w:val="59595B"/>
                <w:sz w:val="20"/>
                <w:szCs w:val="20"/>
              </w:rPr>
              <w:t xml:space="preserve">Donor-dependent revenue rewards better donor intelligence and stewardship; competitive grants reward speed and preparation; an early-mover AI window rewards a structured plan; and a shifting public-funding picture rewards diversification toward private giving. Every one of these forces points at a specific AI capability later in this blueprint — and none requires Alexandria House to change its mission, only to give a small team more reach.</w:t>
            </w:r>
          </w:p>
        </w:tc>
      </w:tr>
    </w:tbl>
    <w:p>
      <w:pPr>
        <w:pStyle w:val="Heading1"/>
        <w:keepNext/>
        <w:pageBreakBefore/>
        <w:spacing w:after="120" w:before="0" w:line="240"/>
      </w:pPr>
      <w:r>
        <w:rPr>
          <w:rFonts w:ascii="Open Sans" w:cs="Open Sans" w:eastAsia="Open Sans" w:hAnsi="Open Sans"/>
          <w:color w:val="FFFFFF"/>
          <w:sz w:val="2"/>
          <w:szCs w:val="2"/>
        </w:rPr>
        <w:t xml:space="preserve">04  Where Growth &amp; Capacity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Where Growth &amp; Capacity Live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For a mission like this, "growth" is not a single sales funnel. It is four levers — and AI supports each one while keeping people at the center of every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680"/>
        <w:gridCol w:w="2434"/>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Lever</w:t>
            </w:r>
          </w:p>
        </w:tc>
        <w:tc>
          <w:tcPr>
            <w:tcW w:type="dxa" w:w="468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looks like for Alexandria House</w:t>
            </w:r>
          </w:p>
        </w:tc>
        <w:tc>
          <w:tcPr>
            <w:tcW w:type="dxa" w:w="243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Front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Raise more from donors</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Find likely major and recurring givers, re-engage lapsed donors, and personalize appeals across a contribution-driven base.</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Grow support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Win more grants</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Match the right funders and draft faster, so limited staff time goes to the funder-specific case for support.</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Grow support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Reach more families</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Serve and engage a Latino and Korean neighborhood in Spanish as well as English — on the website and in every channel.</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Reach &amp; serve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Recover staff time</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Automate reporting, routine inquiries, and repetitive admin so hours return to families and relationships.</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Reach &amp; serve</w:t>
            </w:r>
          </w:p>
        </w:tc>
      </w:tr>
    </w:tbl>
    <w:p>
      <w:pPr>
        <w:keepNext/>
        <w:spacing w:after="0" w:before="8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The first two levers grow the resources that fund the mission. The second two extend reach and give a small team back its time. None of them asks Alexandria House to be a different organization — they ask only that the work it already does be seen, funded, and sustained more fully.</w:t>
      </w:r>
    </w:p>
    <w:p>
      <w:pPr>
        <w:pStyle w:val="Heading1"/>
        <w:keepNext/>
        <w:pageBreakBefore/>
        <w:spacing w:after="120" w:before="0" w:line="240"/>
      </w:pPr>
      <w:r>
        <w:rPr>
          <w:rFonts w:ascii="Open Sans" w:cs="Open Sans" w:eastAsia="Open Sans" w:hAnsi="Open Sans"/>
          <w:color w:val="FFFFFF"/>
          <w:sz w:val="2"/>
          <w:szCs w:val="2"/>
        </w:rPr>
        <w:t xml:space="preserve">05  The Supporter &amp; Stakeholder Relationships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The Supporter &amp; Stakeholder Relationships</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Alexandria House depends on a portfolio of relationships. The map below places the supporter archetypes by giving capacity and engagement depth — archetypes to calibrate against your real donor file at discovery, not named individuals. The families served are the purpose of the work, not a fundraising segment.</w:t>
      </w:r>
    </w:p>
    <w:p>
      <w:pPr>
        <w:keepNext/>
        <w:spacing w:after="60" w:before="120"/>
        <w:jc w:val="center"/>
      </w:pPr>
      <w:r>
        <w:drawing>
          <wp:inline distT="0" distB="0" distL="0" distR="0">
            <wp:extent cx="5334000" cy="3581400"/>
            <wp:effectExtent t="0" r="0" b="0" l="0"/>
            <wp:docPr id="1" name="Supporter and stakeholder map" descr="Supporter and stakeholder map" title="Supporter and stakehold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81400"/>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05.0 — Supporter archetypes by giving capacity and engagement. Bubble size approximates relative revenue weight. The families served are the mission, not a segment to monetize.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Relationship</w:t>
            </w:r>
          </w:p>
        </w:tc>
        <w:tc>
          <w:tcPr>
            <w:tcW w:type="dxa" w:w="374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they need</w:t>
            </w:r>
          </w:p>
        </w:tc>
        <w:tc>
          <w:tcPr>
            <w:tcW w:type="dxa" w:w="337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How AI helps Alexandria House serve them</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Major-gift donors</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personal relationship and a clear, trusted picture of impact.</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Prospect research and pre-meeting briefs; staff own every conversation.</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Monthly / recurring donors</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Easy giving and steady, meaningful updates.</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Segmented, personalized stewardship; bilingual updates.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EAAC8"/>
                <w:sz w:val="19"/>
                <w:szCs w:val="19"/>
              </w:rPr>
              <w:t xml:space="preserve">Foundation funders</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strong fit, a credible case, and clean reporting.</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Funder matching; faster drafts; consistent outcome reports.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Government / institutional</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Compliance and documented outcomes.</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Automated outcome tracking and report narratives.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28A745"/>
                <w:sz w:val="19"/>
                <w:szCs w:val="19"/>
              </w:rPr>
              <w:t xml:space="preserve">Volunteers &amp; community</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simple way to help and quick answers.</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Self-serve sign-up; a 24/7 inquiry chatbot.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A1A2E"/>
                <w:sz w:val="19"/>
                <w:szCs w:val="19"/>
              </w:rPr>
              <w:t xml:space="preserve">Lapsed donors</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reason to return and to be remembered.</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Re-engagement scoring and tailored win-back appeals.</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Honest framing</w:t>
            </w:r>
          </w:p>
          <w:p>
            <w:pPr>
              <w:keepNext w:val="false"/>
              <w:keepLines/>
              <w:spacing w:after="60" w:before="40" w:line="300"/>
            </w:pPr>
            <w:r>
              <w:rPr>
                <w:rFonts w:ascii="Open Sans" w:cs="Open Sans" w:eastAsia="Open Sans" w:hAnsi="Open Sans"/>
                <w:color w:val="59595B"/>
                <w:sz w:val="20"/>
                <w:szCs w:val="20"/>
              </w:rPr>
              <w:t xml:space="preserve">These are research-based archetypes, not your donor database. Which segments matter most — by revenue, by growth potential, by mission fit — is a discovery question. We would rather build the plan around your real supporters than around our assumptions about them.</w:t>
            </w:r>
          </w:p>
        </w:tc>
      </w:tr>
    </w:tbl>
    <w:p>
      <w:pPr>
        <w:pStyle w:val="Heading1"/>
        <w:keepNext/>
        <w:pageBreakBefore/>
        <w:spacing w:after="120" w:before="0" w:line="240"/>
      </w:pPr>
      <w:r>
        <w:rPr>
          <w:rFonts w:ascii="Open Sans" w:cs="Open Sans" w:eastAsia="Open Sans" w:hAnsi="Open Sans"/>
          <w:color w:val="FFFFFF"/>
          <w:sz w:val="2"/>
          <w:szCs w:val="2"/>
        </w:rPr>
        <w:t xml:space="preserve">06  The Funding &amp; Visibility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The Funding &amp; Visibility Landscape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Alexandria House does not compete for customers — but it does, in effect, compete for attention: for the same grant dollars, major donors, volunteers, and the families searching for help. The throughline below is digital and AI maturity in fundraising, because that, not mission quality, is the open lane.</w:t>
      </w:r>
    </w:p>
    <w:p>
      <w:pPr>
        <w:keepNext/>
        <w:spacing w:after="60" w:before="120"/>
        <w:jc w:val="center"/>
      </w:pPr>
      <w:r>
        <w:drawing>
          <wp:inline distT="0" distB="0" distL="0" distR="0">
            <wp:extent cx="5334000" cy="3581400"/>
            <wp:effectExtent t="0" r="0" b="0" l="0"/>
            <wp:docPr id="1" name="Funding and visibility landscape" descr="Funding and visibility landscape" title="Funding and visibility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81400"/>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06.0 — A strategic assessment, not a measured score, and a discovery item rather than a verified peer set. The open corner pairs a real, trusted mission with AI-enabled bilingual fundraising.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82"/>
        <w:gridCol w:w="3370"/>
      </w:tblGrid>
      <w:tr>
        <w:trPr>
          <w:tblHeader/>
        </w:trPr>
        <w:tc>
          <w:tcPr>
            <w:tcW w:type="dxa" w:w="280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Who competes for the same support</w:t>
            </w:r>
          </w:p>
        </w:tc>
        <w:tc>
          <w:tcPr>
            <w:tcW w:type="dxa" w:w="3182"/>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Examples</w:t>
            </w:r>
          </w:p>
        </w:tc>
        <w:tc>
          <w:tcPr>
            <w:tcW w:type="dxa" w:w="337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Digital / AI posture (general read)</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Large LA homeless-services orgs</w:t>
            </w:r>
          </w:p>
        </w:tc>
        <w:tc>
          <w:tcPr>
            <w:tcW w:type="dxa" w:w="318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Major regional providers with development departments</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High visibility and professional fundraising; AI adoption uneven but resourced.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Peer family / women’s shelters</w:t>
            </w:r>
          </w:p>
        </w:tc>
        <w:tc>
          <w:tcPr>
            <w:tcW w:type="dxa" w:w="318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Comparable transitional-housing and women’s-services nonprofits</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Closest peers for grants and major donors; most have not yet adopted AI in fundraising.</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Neighborhood &amp; directory presence</w:t>
            </w:r>
          </w:p>
        </w:tc>
        <w:tc>
          <w:tcPr>
            <w:tcW w:type="dxa" w:w="318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Koreatown / neighborhood orgs; directories such as 211LA and womenshelters.org</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Directories often out-rank individual nonprofits for "help" searches — new supporters leak to them.</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white space — and an honest caveat</w:t>
            </w:r>
          </w:p>
          <w:p>
            <w:pPr>
              <w:keepNext/>
              <w:keepLines/>
              <w:spacing w:after="60" w:before="40" w:line="300"/>
            </w:pPr>
            <w:r>
              <w:rPr>
                <w:rFonts w:ascii="Open Sans" w:cs="Open Sans" w:eastAsia="Open Sans" w:hAnsi="Open Sans"/>
                <w:color w:val="59595B"/>
                <w:sz w:val="20"/>
                <w:szCs w:val="20"/>
              </w:rPr>
              <w:t xml:space="preserve">Most small nonprofits have not yet brought AI into fundraising and storytelling, and very few in this category publish strong bilingual, search-friendly, AI-citable content. An organization that pairs a genuinely trusted mission with AI-enabled bilingual fundraising would stand in a corner few peers occupy — found when supporters search, and credible when they arrive.</w:t>
            </w:r>
          </w:p>
          <w:p>
            <w:pPr>
              <w:keepNext w:val="false"/>
              <w:keepLines/>
              <w:spacing w:after="60" w:before="40" w:line="300"/>
            </w:pPr>
            <w:r>
              <w:rPr>
                <w:rFonts w:ascii="Open Sans" w:cs="Open Sans" w:eastAsia="Open Sans" w:hAnsi="Open Sans"/>
                <w:color w:val="59595B"/>
                <w:sz w:val="20"/>
                <w:szCs w:val="20"/>
              </w:rPr>
              <w:t xml:space="preserve">The caveat: a rigorous peer funding-competition map (which LA family-services nonprofits chase the same foundations and donors, and where Alexandria House wins or loses) was not built from public data in this pass. We would rather research it properly with you than assert it — it is a discovery deliverable.</w:t>
            </w:r>
          </w:p>
        </w:tc>
      </w:tr>
    </w:tbl>
    <w:p>
      <w:pPr>
        <w:pStyle w:val="Heading1"/>
        <w:keepNext/>
        <w:pageBreakBefore/>
        <w:spacing w:after="120" w:before="0" w:line="240"/>
      </w:pPr>
      <w:r>
        <w:rPr>
          <w:rFonts w:ascii="Open Sans" w:cs="Open Sans" w:eastAsia="Open Sans" w:hAnsi="Open Sans"/>
          <w:color w:val="FFFFFF"/>
          <w:sz w:val="2"/>
          <w:szCs w:val="2"/>
        </w:rPr>
        <w:t xml:space="preserve">07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Brand &amp; Digital Presence Audit</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factual read of Alexandria House’s public digital footprint as observed in June 2026. The point is not criticism — it is that the gap between the quality of the work and the reach of its digital presence is itself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867"/>
        <w:gridCol w:w="2434"/>
      </w:tblGrid>
      <w:tr>
        <w:trPr>
          <w:tblHeader/>
        </w:trPr>
        <w:tc>
          <w:tcPr>
            <w:tcW w:type="dxa" w:w="205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Asset</w:t>
            </w:r>
          </w:p>
        </w:tc>
        <w:tc>
          <w:tcPr>
            <w:tcW w:type="dxa" w:w="4867"/>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we observed</w:t>
            </w:r>
          </w:p>
        </w:tc>
        <w:tc>
          <w:tcPr>
            <w:tcW w:type="dxa" w:w="243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Opportunity</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Website &amp; platform</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capable all-in-one nonprofit platform (content, donor CRM, email, SMS, donor logins) with a clear "Circle of Support" story.</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strong base to build on.</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Online giving</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native donate form with a monthly-giving option, sensible tiers, matching gifts, and giving about one click from any page.</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Already good; make it bilingual.</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Spanish language</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website — home, about, donate, volunteer, and help pages — is English-only, in a heavily Latino and Korean neighborhood, even though your social shows bilingual capacity.</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single biggest, most mission-aligned fix.</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Content / stories</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 active blog, news, or impact-stories engine; strong outcomes (the 92%) are not surfaced as fresh, quotable content.</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Feed donor cultivation, search, and AI answers.</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Social media</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An active Instagram of roughly 15,000 followers (with some bilingual posts); a LinkedIn page of about 940 that is not even linked from the site.</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Convert reach into list and recurring gifts.</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Search / AEO</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site sits below directories and peers for terms families and donors actually search; a dormant 2010 site is still live and un-redirected.</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found and cited where people look.</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Fundraising stack</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General gifts in the main platform; events on a second tool — likely two donor records and manual reconciliation.</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One unified view of each supporter.</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most important finding</w:t>
            </w:r>
          </w:p>
          <w:p>
            <w:pPr>
              <w:keepNext w:val="false"/>
              <w:keepLines/>
              <w:spacing w:after="60" w:before="40" w:line="300"/>
            </w:pPr>
            <w:r>
              <w:rPr>
                <w:rFonts w:ascii="Open Sans" w:cs="Open Sans" w:eastAsia="Open Sans" w:hAnsi="Open Sans"/>
                <w:color w:val="59595B"/>
                <w:sz w:val="20"/>
                <w:szCs w:val="20"/>
              </w:rPr>
              <w:t xml:space="preserve">An organization serving a largely Spanish-speaking neighborhood publishes a website its own families often cannot read, while strong results — like more than 92% of completing families staying housed — sit invisible to search and AI assistants. Neither gap is a weakness to hide; together they are the clearest, lowest-cost place to start, and a Spanish page can be live in weeks.</w:t>
            </w:r>
          </w:p>
        </w:tc>
      </w:tr>
    </w:tbl>
    <w:p>
      <w:pPr>
        <w:pStyle w:val="Heading1"/>
        <w:keepNext/>
        <w:pageBreakBefore/>
        <w:spacing w:after="120" w:before="0" w:line="240"/>
      </w:pPr>
      <w:r>
        <w:rPr>
          <w:rFonts w:ascii="Open Sans" w:cs="Open Sans" w:eastAsia="Open Sans" w:hAnsi="Open Sans"/>
          <w:color w:val="FFFFFF"/>
          <w:sz w:val="2"/>
          <w:szCs w:val="2"/>
        </w:rPr>
        <w:t xml:space="preserve">08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Technijian Capability Proof</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Before the plan, the proof. The builds below are real Technijian capabilities; each is mapped to a specific Alexandria House use case. Where a build is described by an industry profile rather than a named client, it is scope and effort only — no invented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Proven build: AI Document Intelligence</w:t>
            </w:r>
          </w:p>
          <w:p>
            <w:pPr>
              <w:keepNext w:val="false"/>
              <w:keepLines/>
              <w:spacing w:after="60" w:before="40" w:line="300"/>
            </w:pPr>
            <w:r>
              <w:rPr>
                <w:rFonts w:ascii="Open Sans" w:cs="Open Sans" w:eastAsia="Open Sans" w:hAnsi="Open Sans"/>
                <w:color w:val="59595B"/>
                <w:sz w:val="20"/>
                <w:szCs w:val="20"/>
              </w:rPr>
              <w:t xml:space="preserve">What we built: an AI pipeline that turns dense, repetitive documents into structured data and drafted output — deployed for a regulated financial firm’s compliance workflows. How it applies: first drafts of grant narratives and funder reports from your vetted facts and outcomes, so staff edit rather than start from a blank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Proven build: Multi-Agent SEO + AEO Platform</w:t>
            </w:r>
          </w:p>
          <w:p>
            <w:pPr>
              <w:keepNext w:val="false"/>
              <w:keepLines/>
              <w:spacing w:after="60" w:before="40" w:line="300"/>
            </w:pPr>
            <w:r>
              <w:rPr>
                <w:rFonts w:ascii="Open Sans" w:cs="Open Sans" w:eastAsia="Open Sans" w:hAnsi="Open Sans"/>
                <w:color w:val="59595B"/>
                <w:sz w:val="20"/>
                <w:szCs w:val="20"/>
              </w:rPr>
              <w:t xml:space="preserve">What we built: a multi-model platform (Claude, GPT, Gemini with search and analytics tools) that produces and optimizes authority content and tracks whether AI assistants cite it. How it applies: a bilingual story-and-impact engine that makes Alexandria House the answer when someone searches for help or for a place to give — and helps qualify and run a free Google Ad Grant.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Proven build: LLM Council (multi-model peer review)</w:t>
            </w:r>
          </w:p>
          <w:p>
            <w:pPr>
              <w:keepNext w:val="false"/>
              <w:keepLines/>
              <w:spacing w:after="60" w:before="40" w:line="300"/>
            </w:pPr>
            <w:r>
              <w:rPr>
                <w:rFonts w:ascii="Open Sans" w:cs="Open Sans" w:eastAsia="Open Sans" w:hAnsi="Open Sans"/>
                <w:color w:val="59595B"/>
                <w:sz w:val="20"/>
                <w:szCs w:val="20"/>
              </w:rPr>
              <w:t xml:space="preserve">What we built: a pattern in which several models independently review the same output and reconcile it (our ScamShield system). How it applies: a fact-check pass on grant claims and funder reports, where a single confident error is unacceptable — a second set of eyes before a person signs 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Proven build: Knowledge Graph + Custom Development</w:t>
            </w:r>
          </w:p>
          <w:p>
            <w:pPr>
              <w:keepNext w:val="false"/>
              <w:keepLines/>
              <w:spacing w:after="60" w:before="40" w:line="300"/>
            </w:pPr>
            <w:r>
              <w:rPr>
                <w:rFonts w:ascii="Open Sans" w:cs="Open Sans" w:eastAsia="Open Sans" w:hAnsi="Open Sans"/>
                <w:color w:val="59595B"/>
                <w:sz w:val="20"/>
                <w:szCs w:val="20"/>
              </w:rPr>
              <w:t xml:space="preserve">What we built: knowledge systems and an AI-native software practice that delivers builds far faster than traditional development. How it applies: one unified view of each supporter across your platforms, plus a bilingual volunteer-and-inquiry chatbot — and a searchable institutional memory so a thirty-year history is an asset, not a pile of inboxes.</w:t>
            </w:r>
          </w:p>
        </w:tc>
      </w:tr>
    </w:tbl>
    <w:p>
      <w:pPr>
        <w:pStyle w:val="Heading2"/>
        <w:keepNext/>
        <w:keepLines/>
        <w:spacing w:after="130" w:before="300"/>
      </w:pPr>
      <w:r>
        <w:rPr>
          <w:rFonts w:ascii="Open Sans" w:cs="Open Sans" w:eastAsia="Open Sans" w:hAnsi="Open Sans"/>
          <w:b/>
          <w:bCs/>
          <w:color w:val="006DB6"/>
          <w:sz w:val="27"/>
          <w:szCs w:val="27"/>
        </w:rPr>
        <w:t xml:space="preserve">"Can a nonprofit our size afford this?" — the multi-model discipline</w:t>
      </w:r>
    </w:p>
    <w:p>
      <w:pPr>
        <w:spacing w:after="120" w:before="0" w:line="320"/>
        <w:jc w:val="both"/>
      </w:pPr>
      <w:r>
        <w:rPr>
          <w:rFonts w:ascii="Open Sans" w:cs="Open Sans" w:eastAsia="Open Sans" w:hAnsi="Open Sans"/>
          <w:b w:val="false"/>
          <w:bCs w:val="false"/>
          <w:i w:val="false"/>
          <w:iCs w:val="false"/>
          <w:color w:val="59595B"/>
          <w:sz w:val="22"/>
          <w:szCs w:val="22"/>
        </w:rPr>
        <w:t xml:space="preserve">A fair question for a lean budget. Technijian does not wire every task to one expensive model. We run a routed, multi-model platform and send each sub-task to the most cost-effective model that does it well: lightweight models for high-volume work, mid-tier models for drafting, and frontier models only for the small slice that needs deep judgment. In practice that runs well below the cost of routing everything to one premium tool. Just as important for an organization like yours, much of the surrounding stack — Google Workspace, a Google Ad Grant, nonprofit-priced Microsoft tools — is free or granted to 501(c)(3) organizations, which keeps the real out-of-pocket cost modest.</w:t>
      </w:r>
    </w:p>
    <w:p>
      <w:pPr>
        <w:pStyle w:val="Heading1"/>
        <w:keepNext/>
        <w:pageBreakBefore/>
        <w:spacing w:after="120" w:before="0" w:line="240"/>
      </w:pPr>
      <w:r>
        <w:rPr>
          <w:rFonts w:ascii="Open Sans" w:cs="Open Sans" w:eastAsia="Open Sans" w:hAnsi="Open Sans"/>
          <w:color w:val="FFFFFF"/>
          <w:sz w:val="2"/>
          <w:szCs w:val="2"/>
        </w:rPr>
        <w:t xml:space="preserve">09  Understanding AI — A Field Guide for Nonprofit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Understanding AI — A Field Guide for Nonprofit Leadership</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short, impartial primer so the conversation rests on shared ground. Each point is anchored to an independent framework, not a sales claim — and the guardrails are written for an organization serving vulnerable women and children.</w:t>
      </w:r>
    </w:p>
    <w:p>
      <w:pPr>
        <w:pStyle w:val="Heading3"/>
        <w:keepNext/>
        <w:spacing w:after="90" w:before="220"/>
      </w:pPr>
      <w:r>
        <w:rPr>
          <w:rFonts w:ascii="Open Sans" w:cs="Open Sans" w:eastAsia="Open Sans" w:hAnsi="Open Sans"/>
          <w:b/>
          <w:bCs/>
          <w:color w:val="1A1A2E"/>
          <w:sz w:val="24"/>
          <w:szCs w:val="24"/>
        </w:rPr>
        <w:t xml:space="preserve">What AI is — and the distinction that matters</w:t>
      </w:r>
    </w:p>
    <w:p>
      <w:pPr>
        <w:spacing w:after="120" w:before="0" w:line="320"/>
        <w:jc w:val="both"/>
      </w:pPr>
      <w:r>
        <w:rPr>
          <w:rFonts w:ascii="Open Sans" w:cs="Open Sans" w:eastAsia="Open Sans" w:hAnsi="Open Sans"/>
          <w:b w:val="false"/>
          <w:bCs w:val="false"/>
          <w:i w:val="false"/>
          <w:iCs w:val="false"/>
          <w:color w:val="59595B"/>
          <w:sz w:val="22"/>
          <w:szCs w:val="22"/>
        </w:rPr>
        <w:t xml:space="preserve">You need to know what AI can and cannot do, not how to build it. The most useful distinction is between </w:t>
      </w:r>
      <w:r>
        <w:rPr>
          <w:rFonts w:ascii="Open Sans" w:cs="Open Sans" w:eastAsia="Open Sans" w:hAnsi="Open Sans"/>
          <w:b/>
          <w:bCs/>
          <w:i w:val="false"/>
          <w:iCs w:val="false"/>
          <w:color w:val="1A1A2E"/>
          <w:sz w:val="22"/>
          <w:szCs w:val="22"/>
        </w:rPr>
        <w:t xml:space="preserve">workflows</w:t>
      </w:r>
      <w:r>
        <w:rPr>
          <w:rFonts w:ascii="Open Sans" w:cs="Open Sans" w:eastAsia="Open Sans" w:hAnsi="Open Sans"/>
          <w:b w:val="false"/>
          <w:bCs w:val="false"/>
          <w:i w:val="false"/>
          <w:iCs w:val="false"/>
          <w:color w:val="59595B"/>
          <w:sz w:val="22"/>
          <w:szCs w:val="22"/>
        </w:rPr>
        <w:t xml:space="preserve"> (AI follows a fixed path — predictable and low-risk, e.g. "draft a thank-you from these gift details") and </w:t>
      </w:r>
      <w:r>
        <w:rPr>
          <w:rFonts w:ascii="Open Sans" w:cs="Open Sans" w:eastAsia="Open Sans" w:hAnsi="Open Sans"/>
          <w:b/>
          <w:bCs/>
          <w:i w:val="false"/>
          <w:iCs w:val="false"/>
          <w:color w:val="1A1A2E"/>
          <w:sz w:val="22"/>
          <w:szCs w:val="22"/>
        </w:rPr>
        <w:t xml:space="preserve">agents</w:t>
      </w:r>
      <w:r>
        <w:rPr>
          <w:rFonts w:ascii="Open Sans" w:cs="Open Sans" w:eastAsia="Open Sans" w:hAnsi="Open Sans"/>
          <w:b w:val="false"/>
          <w:bCs w:val="false"/>
          <w:i w:val="false"/>
          <w:iCs w:val="false"/>
          <w:color w:val="59595B"/>
          <w:sz w:val="22"/>
          <w:szCs w:val="22"/>
        </w:rPr>
        <w:t xml:space="preserve"> (AI decides the steps — flexible, needs oversight). The principle is to use the simplest thing that works: start with drafting and research automations that pay off fast, and add autonomy only where it earns its keep.</w:t>
      </w:r>
    </w:p>
    <w:p>
      <w:pPr>
        <w:pStyle w:val="Heading3"/>
        <w:keepNext/>
        <w:spacing w:after="90" w:before="220"/>
      </w:pPr>
      <w:r>
        <w:rPr>
          <w:rFonts w:ascii="Open Sans" w:cs="Open Sans" w:eastAsia="Open Sans" w:hAnsi="Open Sans"/>
          <w:b/>
          <w:bCs/>
          <w:color w:val="1A1A2E"/>
          <w:sz w:val="24"/>
          <w:szCs w:val="24"/>
        </w:rPr>
        <w:t xml:space="preserve">The non-negotiable guardrails for this mission</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Hallucination control — every funder claim must be true. </w:t>
      </w:r>
      <w:r>
        <w:rPr>
          <w:rFonts w:ascii="Open Sans" w:cs="Open Sans" w:eastAsia="Open Sans" w:hAnsi="Open Sans"/>
          <w:b w:val="false"/>
          <w:bCs w:val="false"/>
          <w:i w:val="false"/>
          <w:iCs w:val="false"/>
          <w:color w:val="59595B"/>
          <w:sz w:val="22"/>
          <w:szCs w:val="22"/>
        </w:rPr>
        <w:t xml:space="preserve">AI produces a fluent answer, not necessarily a correct one. The rule: AI drafts; a human verifies every number, name, and outcome before anything goes to a funder. One fabricated statistic in a report can end a relationship.</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Privacy and dignity — never put client data into public AI. </w:t>
      </w:r>
      <w:r>
        <w:rPr>
          <w:rFonts w:ascii="Open Sans" w:cs="Open Sans" w:eastAsia="Open Sans" w:hAnsi="Open Sans"/>
          <w:b w:val="false"/>
          <w:bCs w:val="false"/>
          <w:i w:val="false"/>
          <w:iCs w:val="false"/>
          <w:color w:val="59595B"/>
          <w:sz w:val="22"/>
          <w:szCs w:val="22"/>
        </w:rPr>
        <w:t xml:space="preserve">Information about women and children leaving unsafe situations carries real legal and ethical duties. The rule: no client names, locations, or case details go into consumer AI tools; we use private, governed deployments with no-training terms and de-identified data.</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The human owns the relationship. </w:t>
      </w:r>
      <w:r>
        <w:rPr>
          <w:rFonts w:ascii="Open Sans" w:cs="Open Sans" w:eastAsia="Open Sans" w:hAnsi="Open Sans"/>
          <w:b w:val="false"/>
          <w:bCs w:val="false"/>
          <w:i w:val="false"/>
          <w:iCs w:val="false"/>
          <w:color w:val="59595B"/>
          <w:sz w:val="22"/>
          <w:szCs w:val="22"/>
        </w:rPr>
        <w:t xml:space="preserve">AI handles research, segmentation, and first drafts. People own every major-gift conversation and every final message to a donor or a family.</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Funder disclosure — follow each funder’s rule. </w:t>
      </w:r>
      <w:r>
        <w:rPr>
          <w:rFonts w:ascii="Open Sans" w:cs="Open Sans" w:eastAsia="Open Sans" w:hAnsi="Open Sans"/>
          <w:b w:val="false"/>
          <w:bCs w:val="false"/>
          <w:i w:val="false"/>
          <w:iCs w:val="false"/>
          <w:color w:val="59595B"/>
          <w:sz w:val="22"/>
          <w:szCs w:val="22"/>
        </w:rPr>
        <w:t xml:space="preserve">Policies vary: some funders bar fully AI-generated applications and AI-fabricated references, others require or encourage disclosure of AI use. We keep AI to assistive drafting and disclose where required.</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A bilingual quality gate. </w:t>
      </w:r>
      <w:r>
        <w:rPr>
          <w:rFonts w:ascii="Open Sans" w:cs="Open Sans" w:eastAsia="Open Sans" w:hAnsi="Open Sans"/>
          <w:b w:val="false"/>
          <w:bCs w:val="false"/>
          <w:i w:val="false"/>
          <w:iCs w:val="false"/>
          <w:color w:val="59595B"/>
          <w:sz w:val="22"/>
          <w:szCs w:val="22"/>
        </w:rPr>
        <w:t xml:space="preserve">Machine translation alone misses cultural and idiomatic nuance. A native bilingual reviewer validates any Spanish material before it reaches families.</w:t>
      </w:r>
    </w:p>
    <w:p>
      <w:pPr>
        <w:pStyle w:val="Heading3"/>
        <w:keepNext/>
        <w:spacing w:after="90" w:before="220"/>
      </w:pPr>
      <w:r>
        <w:rPr>
          <w:rFonts w:ascii="Open Sans" w:cs="Open Sans" w:eastAsia="Open Sans" w:hAnsi="Open Sans"/>
          <w:b/>
          <w:bCs/>
          <w:color w:val="1A1A2E"/>
          <w:sz w:val="24"/>
          <w:szCs w:val="24"/>
        </w:rPr>
        <w:t xml:space="preserve">Why a partner, versus do-it-yourself or a new hire</w:t>
      </w:r>
    </w:p>
    <w:p>
      <w:pPr>
        <w:spacing w:after="120" w:before="0" w:line="320"/>
        <w:jc w:val="both"/>
      </w:pPr>
      <w:r>
        <w:rPr>
          <w:rFonts w:ascii="Open Sans" w:cs="Open Sans" w:eastAsia="Open Sans" w:hAnsi="Open Sans"/>
          <w:b w:val="false"/>
          <w:bCs w:val="false"/>
          <w:i w:val="false"/>
          <w:iCs w:val="false"/>
          <w:color w:val="59595B"/>
          <w:sz w:val="22"/>
          <w:szCs w:val="22"/>
        </w:rPr>
        <w:t xml:space="preserve">Free tools are cheap but leave you to assemble, secure, and govern the whole system. A capable full-time technology hire is scarce and costs well over six figures a year, and cannot cover strategy, build, security, and governance alone. A partner provides all of that at a fraction of the cost, with proven builds — and we architect, build, and operationalize through to something your team actually uses, rather than handing over a slide deck.</w:t>
      </w:r>
    </w:p>
    <w:p>
      <w:pPr>
        <w:pStyle w:val="Heading1"/>
        <w:keepNext/>
        <w:pageBreakBefore/>
        <w:spacing w:after="120" w:before="0" w:line="240"/>
      </w:pPr>
      <w:r>
        <w:rPr>
          <w:rFonts w:ascii="Open Sans" w:cs="Open Sans" w:eastAsia="Open Sans" w:hAnsi="Open Sans"/>
          <w:color w:val="FFFFFF"/>
          <w:sz w:val="2"/>
          <w:szCs w:val="2"/>
        </w:rPr>
        <w:t xml:space="preserve">10  The AI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The AI Growth Engine</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The engine has three columns: be found and tell the story, raise more and win grants, and serve families and report impact. Each capability names the specific Technijian service that delivers it.</w:t>
      </w:r>
    </w:p>
    <w:p>
      <w:pPr>
        <w:keepNext/>
        <w:spacing w:after="60" w:before="120"/>
        <w:jc w:val="center"/>
      </w:pPr>
      <w:r>
        <w:drawing>
          <wp:inline distT="0" distB="0" distL="0" distR="0">
            <wp:extent cx="5943600" cy="3724275"/>
            <wp:effectExtent t="0" r="0" b="0" l="0"/>
            <wp:docPr id="1" name="Alexandria House AI growth engine" descr="Alexandria House AI growth engine" title="Alexandria House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242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10.0 — Be found and tell the story (left); raise more and win grants (center); serve and report impact (right). AI drafts and researches; a human owns every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305"/>
        <w:gridCol w:w="2435"/>
      </w:tblGrid>
      <w:tr>
        <w:trPr>
          <w:tblHeader/>
        </w:trPr>
        <w:tc>
          <w:tcPr>
            <w:tcW w:type="dxa" w:w="262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AI capability</w:t>
            </w:r>
          </w:p>
        </w:tc>
        <w:tc>
          <w:tcPr>
            <w:tcW w:type="dxa" w:w="430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Use case for Alexandria House</w:t>
            </w:r>
          </w:p>
        </w:tc>
        <w:tc>
          <w:tcPr>
            <w:tcW w:type="dxa" w:w="243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Technijian service</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Bilingual website &amp; content</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Spanish-language donate, help, and story pages your families can actually read.</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Authority &amp; impact stories</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real story engine — outcomes, alumni voices, the 92% — that donors and search reward.</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AEO / search + Google Ad Grant</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the cited answer for help and giving; qualify and run a free $10K/mo Google Ad Grant.</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Grant prospecting &amp; drafting</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Match funders and draft boilerplate; staff write the funder-specific case for support.</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Donor development &amp; scoring</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Find likely major and recurring givers; re-engage lapsed donors across the base.</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Bilingual comms at scale</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Spanish newsletters, intake, social, and surveys — AI drafts, bilingual staff review, publish.</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Impact &amp; funder reporting</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Auto-draft outcome dashboards and report narratives, consistently across many funders.</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Unified donor view + chatbot</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Reconcile your two platforms into one supporter record; a 24/7 volunteer &amp; inquiry chatbot.</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Dev</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non-negotiable</w:t>
            </w:r>
          </w:p>
          <w:p>
            <w:pPr>
              <w:keepNext w:val="false"/>
              <w:keepLines/>
              <w:spacing w:after="60" w:before="40" w:line="300"/>
            </w:pPr>
            <w:r>
              <w:rPr>
                <w:rFonts w:ascii="Open Sans" w:cs="Open Sans" w:eastAsia="Open Sans" w:hAnsi="Open Sans"/>
                <w:color w:val="59595B"/>
                <w:sz w:val="20"/>
                <w:szCs w:val="20"/>
              </w:rPr>
              <w:t xml:space="preserve">AI assists the people who do this work; it does not replace the relationship that wins a gift or the staff member who walks alongside a family. Every draft is checked, every claim is verified, and no client data ever goes into a public tool. That is how this stays trustworthy in a mission built on trust.</w:t>
            </w:r>
          </w:p>
        </w:tc>
      </w:tr>
    </w:tbl>
    <w:p>
      <w:pPr>
        <w:pStyle w:val="Heading1"/>
        <w:keepNext/>
        <w:pageBreakBefore/>
        <w:spacing w:after="120" w:before="0" w:line="240"/>
      </w:pPr>
      <w:r>
        <w:rPr>
          <w:rFonts w:ascii="Open Sans" w:cs="Open Sans" w:eastAsia="Open Sans" w:hAnsi="Open Sans"/>
          <w:color w:val="FFFFFF"/>
          <w:sz w:val="2"/>
          <w:szCs w:val="2"/>
        </w:rPr>
        <w:t xml:space="preserve">11  Mission Impact &amp;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Mission Impact &amp; Investment</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We price from real, published service ranges, we lean on technology that is free or granted to nonprofits, and we model returns only after discovery. No figure below is a quote, and none is presented as Alexandria House’s guaranteed result.</w:t>
      </w:r>
    </w:p>
    <w:p>
      <w:pPr>
        <w:pStyle w:val="Heading2"/>
        <w:keepNext/>
        <w:keepLines/>
        <w:spacing w:after="130" w:before="300"/>
      </w:pPr>
      <w:r>
        <w:rPr>
          <w:rFonts w:ascii="Open Sans" w:cs="Open Sans" w:eastAsia="Open Sans" w:hAnsi="Open Sans"/>
          <w:b/>
          <w:bCs/>
          <w:color w:val="006DB6"/>
          <w:sz w:val="27"/>
          <w:szCs w:val="27"/>
        </w:rPr>
        <w:t xml:space="preserve">Start small, prove it, then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680"/>
        <w:gridCol w:w="2621"/>
      </w:tblGrid>
      <w:tr>
        <w:trPr>
          <w:tblHeader/>
        </w:trPr>
        <w:tc>
          <w:tcPr>
            <w:tcW w:type="dxa" w:w="205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Phase</w:t>
            </w:r>
          </w:p>
        </w:tc>
        <w:tc>
          <w:tcPr>
            <w:tcW w:type="dxa" w:w="468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includes</w:t>
            </w:r>
          </w:p>
        </w:tc>
        <w:tc>
          <w:tcPr>
            <w:tcW w:type="dxa" w:w="2621"/>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Engagement type</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Start — prove it</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short AI Readiness session, the free nonprofit tech set up (Google Ad Grant + Workspace), a Spanish-language donate/help page, and ONE high-value automation (e.g., grant or report drafting).</w:t>
            </w:r>
          </w:p>
        </w:tc>
        <w:tc>
          <w:tcPr>
            <w:tcW w:type="dxa" w:w="262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Fixed, modest scope</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Grow — raise &amp; reach</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Grant funder-matching and AI-assisted drafting; donor segmentation and re-engagement; bilingual content at scale.</w:t>
            </w:r>
          </w:p>
        </w:tc>
        <w:tc>
          <w:tcPr>
            <w:tcW w:type="dxa" w:w="262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SEO + My AI</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Sustain — operate</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unified supporter view and volunteer chatbot, automated impact reporting, and a measured dashboard of dollars raised and hours saved.</w:t>
            </w:r>
          </w:p>
        </w:tc>
        <w:tc>
          <w:tcPr>
            <w:tcW w:type="dxa" w:w="262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Dev + ongoing support</w:t>
            </w:r>
          </w:p>
        </w:tc>
      </w:tr>
    </w:tbl>
    <w:p>
      <w:pPr>
        <w:pStyle w:val="Heading2"/>
        <w:keepNext/>
        <w:keepLines/>
        <w:spacing w:after="130" w:before="300"/>
      </w:pPr>
      <w:r>
        <w:rPr>
          <w:rFonts w:ascii="Open Sans" w:cs="Open Sans" w:eastAsia="Open Sans" w:hAnsi="Open Sans"/>
          <w:b/>
          <w:bCs/>
          <w:color w:val="006DB6"/>
          <w:sz w:val="27"/>
          <w:szCs w:val="27"/>
        </w:rPr>
        <w:t xml:space="preserve">What it costs — and how much is free to nonprofits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2995"/>
        <w:gridCol w:w="2434"/>
      </w:tblGrid>
      <w:tr>
        <w:trPr>
          <w:tblHeader/>
        </w:trPr>
        <w:tc>
          <w:tcPr>
            <w:tcW w:type="dxa" w:w="3931"/>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Component</w:t>
            </w:r>
          </w:p>
        </w:tc>
        <w:tc>
          <w:tcPr>
            <w:tcW w:type="dxa" w:w="2995"/>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Cost to a 501(c)(3)</w:t>
            </w:r>
          </w:p>
        </w:tc>
        <w:tc>
          <w:tcPr>
            <w:tcW w:type="dxa" w:w="2434"/>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Note</w:t>
            </w:r>
          </w:p>
        </w:tc>
      </w:tr>
      <w:tr>
        <w:trPr>
          <w:cantSplit/>
        </w:trPr>
        <w:tc>
          <w:tcPr>
            <w:tcW w:type="dxa" w:w="393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28A745"/>
                <w:sz w:val="19"/>
                <w:szCs w:val="19"/>
              </w:rPr>
              <w:t xml:space="preserve">Google Ad Grants — free search advertising</w:t>
            </w:r>
          </w:p>
        </w:tc>
        <w:tc>
          <w:tcPr>
            <w:tcW w:type="dxa" w:w="299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Free (up to $10,000 / mo)</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in-kind reach</w:t>
            </w:r>
          </w:p>
        </w:tc>
      </w:tr>
      <w:tr>
        <w:trPr>
          <w:cantSplit/>
        </w:trPr>
        <w:tc>
          <w:tcPr>
            <w:tcW w:type="dxa" w:w="393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28A745"/>
                <w:sz w:val="19"/>
                <w:szCs w:val="19"/>
              </w:rPr>
              <w:t xml:space="preserve">Google Workspace for Nonprofits</w:t>
            </w:r>
          </w:p>
        </w:tc>
        <w:tc>
          <w:tcPr>
            <w:tcW w:type="dxa" w:w="299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Free for most 501(c)(3)s</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w:t>
            </w:r>
          </w:p>
        </w:tc>
      </w:tr>
      <w:tr>
        <w:trPr>
          <w:cantSplit/>
        </w:trPr>
        <w:tc>
          <w:tcPr>
            <w:tcW w:type="dxa" w:w="393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Microsoft 365 nonprofit + Copilot</w:t>
            </w:r>
          </w:p>
        </w:tc>
        <w:tc>
          <w:tcPr>
            <w:tcW w:type="dxa" w:w="299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granted / discounted via TechSoup</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w:t>
            </w:r>
          </w:p>
        </w:tc>
      </w:tr>
      <w:tr>
        <w:trPr>
          <w:cantSplit/>
        </w:trPr>
        <w:tc>
          <w:tcPr>
            <w:tcW w:type="dxa" w:w="393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Candid Foundation Directory (funder research)</w:t>
            </w:r>
          </w:p>
        </w:tc>
        <w:tc>
          <w:tcPr>
            <w:tcW w:type="dxa" w:w="299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free with a Candid Gold Seal</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w:t>
            </w:r>
          </w:p>
        </w:tc>
      </w:tr>
      <w:tr>
        <w:trPr>
          <w:cantSplit/>
        </w:trPr>
        <w:tc>
          <w:tcPr>
            <w:tcW w:type="dxa" w:w="393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SEO — bilingual authority + AEO + Ad Grant</w:t>
            </w:r>
          </w:p>
        </w:tc>
        <w:tc>
          <w:tcPr>
            <w:tcW w:type="dxa" w:w="299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published service range</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w:t>
            </w:r>
          </w:p>
        </w:tc>
      </w:tr>
      <w:tr>
        <w:trPr>
          <w:cantSplit/>
        </w:trPr>
        <w:tc>
          <w:tcPr>
            <w:tcW w:type="dxa" w:w="393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AI — grant, donor &amp; reporting automation</w:t>
            </w:r>
          </w:p>
        </w:tc>
        <w:tc>
          <w:tcPr>
            <w:tcW w:type="dxa" w:w="299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scoped to workflow count</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 + build</w:t>
            </w:r>
          </w:p>
        </w:tc>
      </w:tr>
      <w:tr>
        <w:trPr>
          <w:cantSplit/>
        </w:trPr>
        <w:tc>
          <w:tcPr>
            <w:tcW w:type="dxa" w:w="393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Dev — unified view / chatbot build</w:t>
            </w:r>
          </w:p>
        </w:tc>
        <w:tc>
          <w:tcPr>
            <w:tcW w:type="dxa" w:w="299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project-based</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one-time build</w:t>
            </w:r>
          </w:p>
        </w:tc>
      </w:tr>
    </w:tbl>
    <w:p>
      <w:pPr>
        <w:keepNext/>
        <w:spacing w:after="0" w:before="8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How we will model the return. </w:t>
      </w:r>
      <w:r>
        <w:rPr>
          <w:rFonts w:ascii="Open Sans" w:cs="Open Sans" w:eastAsia="Open Sans" w:hAnsi="Open Sans"/>
          <w:b w:val="false"/>
          <w:bCs w:val="false"/>
          <w:i w:val="false"/>
          <w:iCs w:val="false"/>
          <w:color w:val="59595B"/>
          <w:sz w:val="22"/>
          <w:szCs w:val="22"/>
        </w:rPr>
        <w:t xml:space="preserve">For a donation-funded mission, return is measured in dollars raised, hours recovered, and families reached — not in a revenue multiple. The levers are concrete: more grants pursued and won, lapsed donors re-engaged, staff hours returned from drafting and reporting, and Spanish-speaking families finally able to find and give. We will put conservative, mid, and upside numbers against those levers once discovery gives us your real figures (Section 14). Until then, any single ROI claim would be a guess, and we don’t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 note on affordability</w:t>
            </w:r>
          </w:p>
          <w:p>
            <w:pPr>
              <w:keepNext w:val="false"/>
              <w:keepLines/>
              <w:spacing w:after="60" w:before="40" w:line="300"/>
            </w:pPr>
            <w:r>
              <w:rPr>
                <w:rFonts w:ascii="Open Sans" w:cs="Open Sans" w:eastAsia="Open Sans" w:hAnsi="Open Sans"/>
                <w:color w:val="59595B"/>
                <w:sz w:val="20"/>
                <w:szCs w:val="20"/>
              </w:rPr>
              <w:t xml:space="preserve">We understand this is a budget-constrained, deficit-year organization with a mission we respect. We scope the first engagement to fit a real nonprofit budget and to align with grant cycles, and we deliberately build on the free and granted nonprofit technology first — so the plan starts where it pays for itself and grows only as it proves out.</w:t>
            </w:r>
          </w:p>
        </w:tc>
      </w:tr>
    </w:tbl>
    <w:p>
      <w:pPr>
        <w:pStyle w:val="Heading1"/>
        <w:keepNext/>
        <w:pageBreakBefore/>
        <w:spacing w:after="120" w:before="0" w:line="240"/>
      </w:pPr>
      <w:r>
        <w:rPr>
          <w:rFonts w:ascii="Open Sans" w:cs="Open Sans" w:eastAsia="Open Sans" w:hAnsi="Open Sans"/>
          <w:color w:val="FFFFFF"/>
          <w:sz w:val="2"/>
          <w:szCs w:val="2"/>
        </w:rPr>
        <w:t xml:space="preserve">12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Implementation Roadmap</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Staged so each phase pays for itself — in dollars raised or hours saved — before the next begins, and sequenced to start with the lowest-cost, fastest wins.</w:t>
      </w:r>
    </w:p>
    <w:p>
      <w:pPr>
        <w:keepNext/>
        <w:spacing w:after="60" w:before="120"/>
        <w:jc w:val="center"/>
      </w:pPr>
      <w:r>
        <w:drawing>
          <wp:inline distT="0" distB="0" distL="0" distR="0">
            <wp:extent cx="5943600" cy="2619375"/>
            <wp:effectExtent t="0" r="0" b="0" l="0"/>
            <wp:docPr id="1"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6193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12.0 — Foundation, then raise &amp; reach, then deepen &amp; sustain. Targets and sequence calibrate at discovery and flex to grant cycles and budget.</w:t>
      </w:r>
    </w:p>
    <w:p>
      <w:pPr>
        <w:spacing w:after="120" w:before="0" w:line="320"/>
        <w:jc w:val="both"/>
      </w:pPr>
      <w:r>
        <w:rPr>
          <w:rFonts w:ascii="Open Sans" w:cs="Open Sans" w:eastAsia="Open Sans" w:hAnsi="Open Sans"/>
          <w:b w:val="false"/>
          <w:bCs w:val="false"/>
          <w:i w:val="false"/>
          <w:iCs w:val="false"/>
          <w:color w:val="59595B"/>
          <w:sz w:val="22"/>
          <w:szCs w:val="22"/>
        </w:rPr>
        <w:t xml:space="preserve">Phase one stands up the free nonprofit technology, publishes a Spanish-language donate and help page, fixes the dormant legacy site, and sets a one-page AI use policy with light staff training so the guardrails are real from day one. Phase two turns on the grant engine and donor development and begins publishing bilingual, search-friendly stories. Phase three unifies the supporter view, adds the volunteer chatbot, automates funder reporting, and stands up a dashboard so every claim in this plan is measured against reality.</w:t>
      </w:r>
    </w:p>
    <w:p>
      <w:pPr>
        <w:pStyle w:val="Heading1"/>
        <w:keepNext/>
        <w:pageBreakBefore/>
        <w:spacing w:after="120" w:before="0" w:line="240"/>
      </w:pPr>
      <w:r>
        <w:rPr>
          <w:rFonts w:ascii="Open Sans" w:cs="Open Sans" w:eastAsia="Open Sans" w:hAnsi="Open Sans"/>
          <w:color w:val="FFFFFF"/>
          <w:sz w:val="2"/>
          <w:szCs w:val="2"/>
        </w:rPr>
        <w:t xml:space="preserve">13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13  Quick Wins — Start This Week</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Five actions Alexandria House can take now, with no Technijian contract, that create value and set up the work:</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Apply for the Google Ad Grant. </w:t>
      </w:r>
      <w:r>
        <w:rPr>
          <w:rFonts w:ascii="Open Sans" w:cs="Open Sans" w:eastAsia="Open Sans" w:hAnsi="Open Sans"/>
          <w:b w:val="false"/>
          <w:bCs w:val="false"/>
          <w:i w:val="false"/>
          <w:iCs w:val="false"/>
          <w:color w:val="59595B"/>
          <w:sz w:val="22"/>
          <w:szCs w:val="22"/>
        </w:rPr>
        <w:t xml:space="preserve">Eligible 501(c)(3) organizations receive up to $10,000 a month in free Google search ads — the single highest-impact fix for the discovery gap, at no cost.</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Publish one page in Spanish. </w:t>
      </w:r>
      <w:r>
        <w:rPr>
          <w:rFonts w:ascii="Open Sans" w:cs="Open Sans" w:eastAsia="Open Sans" w:hAnsi="Open Sans"/>
          <w:b w:val="false"/>
          <w:bCs w:val="false"/>
          <w:i w:val="false"/>
          <w:iCs w:val="false"/>
          <w:color w:val="59595B"/>
          <w:sz w:val="22"/>
          <w:szCs w:val="22"/>
        </w:rPr>
        <w:t xml:space="preserve">A Spanish donate or help page signals to your families — and to search engines — that Alexandria House speaks their language. A small change with outsized reach.</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Redirect the dormant 2010 site. </w:t>
      </w:r>
      <w:r>
        <w:rPr>
          <w:rFonts w:ascii="Open Sans" w:cs="Open Sans" w:eastAsia="Open Sans" w:hAnsi="Open Sans"/>
          <w:b w:val="false"/>
          <w:bCs w:val="false"/>
          <w:i w:val="false"/>
          <w:iCs w:val="false"/>
          <w:color w:val="59595B"/>
          <w:sz w:val="22"/>
          <w:szCs w:val="22"/>
        </w:rPr>
        <w:t xml:space="preserve">An old, un-redirected website still lives online and dilutes your search presence. Pointing it at the current site is a quick, free cleanup.</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Surface the 92% as a quotable stat. </w:t>
      </w:r>
      <w:r>
        <w:rPr>
          <w:rFonts w:ascii="Open Sans" w:cs="Open Sans" w:eastAsia="Open Sans" w:hAnsi="Open Sans"/>
          <w:b w:val="false"/>
          <w:bCs w:val="false"/>
          <w:i w:val="false"/>
          <w:iCs w:val="false"/>
          <w:color w:val="59595B"/>
          <w:sz w:val="22"/>
          <w:szCs w:val="22"/>
        </w:rPr>
        <w:t xml:space="preserve">Put your strongest outcome where donors, search, and AI assistants can find it — with the source data ready so it stands up to a funder’s scrutiny.</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Pick the most painful piece of writing. </w:t>
      </w:r>
      <w:r>
        <w:rPr>
          <w:rFonts w:ascii="Open Sans" w:cs="Open Sans" w:eastAsia="Open Sans" w:hAnsi="Open Sans"/>
          <w:b w:val="false"/>
          <w:bCs w:val="false"/>
          <w:i w:val="false"/>
          <w:iCs w:val="false"/>
          <w:color w:val="59595B"/>
          <w:sz w:val="22"/>
          <w:szCs w:val="22"/>
        </w:rPr>
        <w:t xml:space="preserve">Identify the one grant or report that eats the most staff time — that becomes the first AI-assisted drafting target.</w:t>
      </w:r>
    </w:p>
    <w:p>
      <w:pPr>
        <w:pStyle w:val="Heading1"/>
        <w:keepNext/>
        <w:pageBreakBefore/>
        <w:spacing w:after="120" w:before="0" w:line="240"/>
      </w:pPr>
      <w:r>
        <w:rPr>
          <w:rFonts w:ascii="Open Sans" w:cs="Open Sans" w:eastAsia="Open Sans" w:hAnsi="Open Sans"/>
          <w:color w:val="FFFFFF"/>
          <w:sz w:val="2"/>
          <w:szCs w:val="2"/>
        </w:rPr>
        <w:t xml:space="preserve">14  Questions to Complete the Analysis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14  Questions to Complete the Analysis</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This is the part that turns a research-based blueprint into a costed, calibrated plan. The answers — from a short discovery call — replace every estimate above with your real numbers. "We’re not sure" is a useful answer.</w:t>
      </w:r>
    </w:p>
    <w:p>
      <w:pPr>
        <w:pStyle w:val="Heading2"/>
        <w:keepNext/>
        <w:keepLines/>
        <w:spacing w:after="130" w:before="300"/>
      </w:pPr>
      <w:r>
        <w:rPr>
          <w:rFonts w:ascii="Open Sans" w:cs="Open Sans" w:eastAsia="Open Sans" w:hAnsi="Open Sans"/>
          <w:b/>
          <w:bCs/>
          <w:color w:val="006DB6"/>
          <w:sz w:val="27"/>
          <w:szCs w:val="27"/>
        </w:rPr>
        <w:t xml:space="preserve">A · Mission &amp; programs</w:t>
      </w:r>
    </w:p>
    <w:p>
      <w:pPr>
        <w:pStyle w:val="ListParagraph"/>
        <w:numPr>
          <w:ilvl w:val="0"/>
          <w:numId w:val="2"/>
        </w:numPr>
        <w:spacing w:after="80" w:before="40" w:line="300"/>
      </w:pPr>
      <w:r>
        <w:rPr>
          <w:rFonts w:ascii="Open Sans" w:cs="Open Sans" w:eastAsia="Open Sans" w:hAnsi="Open Sans"/>
          <w:color w:val="59595B"/>
          <w:sz w:val="22"/>
          <w:szCs w:val="22"/>
        </w:rPr>
        <w:t xml:space="preserve">How many women, children, and families do you serve in a typical year, and what is your current transitional-housing capacity?</w:t>
      </w:r>
    </w:p>
    <w:p>
      <w:pPr>
        <w:pStyle w:val="ListParagraph"/>
        <w:numPr>
          <w:ilvl w:val="0"/>
          <w:numId w:val="2"/>
        </w:numPr>
        <w:spacing w:after="80" w:before="40" w:line="300"/>
      </w:pPr>
      <w:r>
        <w:rPr>
          <w:rFonts w:ascii="Open Sans" w:cs="Open Sans" w:eastAsia="Open Sans" w:hAnsi="Open Sans"/>
          <w:color w:val="59595B"/>
          <w:sz w:val="22"/>
          <w:szCs w:val="22"/>
        </w:rPr>
        <w:t xml:space="preserve">Do you offer ESL or other adult education today, beyond the Start Up Sisterhood program?</w:t>
      </w:r>
    </w:p>
    <w:p>
      <w:pPr>
        <w:pStyle w:val="ListParagraph"/>
        <w:numPr>
          <w:ilvl w:val="0"/>
          <w:numId w:val="2"/>
        </w:numPr>
        <w:spacing w:after="80" w:before="40" w:line="300"/>
      </w:pPr>
      <w:r>
        <w:rPr>
          <w:rFonts w:ascii="Open Sans" w:cs="Open Sans" w:eastAsia="Open Sans" w:hAnsi="Open Sans"/>
          <w:color w:val="59595B"/>
          <w:sz w:val="22"/>
          <w:szCs w:val="22"/>
        </w:rPr>
        <w:t xml:space="preserve">What share of the families you serve are Spanish-dominant, and how many bilingual staff do you have?</w:t>
      </w:r>
    </w:p>
    <w:p>
      <w:pPr>
        <w:pStyle w:val="Heading2"/>
        <w:keepNext/>
        <w:keepLines/>
        <w:spacing w:after="130" w:before="300"/>
      </w:pPr>
      <w:r>
        <w:rPr>
          <w:rFonts w:ascii="Open Sans" w:cs="Open Sans" w:eastAsia="Open Sans" w:hAnsi="Open Sans"/>
          <w:b/>
          <w:bCs/>
          <w:color w:val="F67D4B"/>
          <w:sz w:val="27"/>
          <w:szCs w:val="27"/>
        </w:rPr>
        <w:t xml:space="preserve">B · Fundraising &amp; systems</w:t>
      </w:r>
    </w:p>
    <w:p>
      <w:pPr>
        <w:pStyle w:val="ListParagraph"/>
        <w:numPr>
          <w:ilvl w:val="0"/>
          <w:numId w:val="2"/>
        </w:numPr>
        <w:spacing w:after="80" w:before="40" w:line="300"/>
      </w:pPr>
      <w:r>
        <w:rPr>
          <w:rFonts w:ascii="Open Sans" w:cs="Open Sans" w:eastAsia="Open Sans" w:hAnsi="Open Sans"/>
          <w:color w:val="59595B"/>
          <w:sz w:val="22"/>
          <w:szCs w:val="22"/>
        </w:rPr>
        <w:t xml:space="preserve">How are grant writing and funder reporting handled today, and how many staff hours do they take?</w:t>
      </w:r>
    </w:p>
    <w:p>
      <w:pPr>
        <w:pStyle w:val="ListParagraph"/>
        <w:numPr>
          <w:ilvl w:val="0"/>
          <w:numId w:val="2"/>
        </w:numPr>
        <w:spacing w:after="80" w:before="40" w:line="300"/>
      </w:pPr>
      <w:r>
        <w:rPr>
          <w:rFonts w:ascii="Open Sans" w:cs="Open Sans" w:eastAsia="Open Sans" w:hAnsi="Open Sans"/>
          <w:color w:val="59595B"/>
          <w:sz w:val="22"/>
          <w:szCs w:val="22"/>
        </w:rPr>
        <w:t xml:space="preserve">How do you manage donors across your platforms — and do event donors and general donors live in one record or two?</w:t>
      </w:r>
    </w:p>
    <w:p>
      <w:pPr>
        <w:pStyle w:val="ListParagraph"/>
        <w:numPr>
          <w:ilvl w:val="0"/>
          <w:numId w:val="2"/>
        </w:numPr>
        <w:spacing w:after="80" w:before="40" w:line="300"/>
      </w:pPr>
      <w:r>
        <w:rPr>
          <w:rFonts w:ascii="Open Sans" w:cs="Open Sans" w:eastAsia="Open Sans" w:hAnsi="Open Sans"/>
          <w:color w:val="59595B"/>
          <w:sz w:val="22"/>
          <w:szCs w:val="22"/>
        </w:rPr>
        <w:t xml:space="preserve">How many grants do you pursue in a year, and what is your typical win rate?</w:t>
      </w:r>
    </w:p>
    <w:p>
      <w:pPr>
        <w:pStyle w:val="Heading2"/>
        <w:keepNext/>
        <w:keepLines/>
        <w:spacing w:after="130" w:before="300"/>
      </w:pPr>
      <w:r>
        <w:rPr>
          <w:rFonts w:ascii="Open Sans" w:cs="Open Sans" w:eastAsia="Open Sans" w:hAnsi="Open Sans"/>
          <w:b/>
          <w:bCs/>
          <w:color w:val="1EAAC8"/>
          <w:sz w:val="27"/>
          <w:szCs w:val="27"/>
        </w:rPr>
        <w:t xml:space="preserve">C · Funding mix &amp; priorities</w:t>
      </w:r>
    </w:p>
    <w:p>
      <w:pPr>
        <w:pStyle w:val="ListParagraph"/>
        <w:numPr>
          <w:ilvl w:val="0"/>
          <w:numId w:val="2"/>
        </w:numPr>
        <w:spacing w:after="80" w:before="40" w:line="300"/>
      </w:pPr>
      <w:r>
        <w:rPr>
          <w:rFonts w:ascii="Open Sans" w:cs="Open Sans" w:eastAsia="Open Sans" w:hAnsi="Open Sans"/>
          <w:color w:val="59595B"/>
          <w:sz w:val="22"/>
          <w:szCs w:val="22"/>
        </w:rPr>
        <w:t xml:space="preserve">What is your current mix of individual, foundation, and government funding — and do you receive any LAHSA or other public pass-through today?</w:t>
      </w:r>
    </w:p>
    <w:p>
      <w:pPr>
        <w:pStyle w:val="ListParagraph"/>
        <w:numPr>
          <w:ilvl w:val="0"/>
          <w:numId w:val="2"/>
        </w:numPr>
        <w:spacing w:after="80" w:before="40" w:line="300"/>
      </w:pPr>
      <w:r>
        <w:rPr>
          <w:rFonts w:ascii="Open Sans" w:cs="Open Sans" w:eastAsia="Open Sans" w:hAnsi="Open Sans"/>
          <w:color w:val="59595B"/>
          <w:sz w:val="22"/>
          <w:szCs w:val="22"/>
        </w:rPr>
        <w:t xml:space="preserve">Who are your most important current funders, and when do their renewals come up?</w:t>
      </w:r>
    </w:p>
    <w:p>
      <w:pPr>
        <w:pStyle w:val="ListParagraph"/>
        <w:numPr>
          <w:ilvl w:val="0"/>
          <w:numId w:val="2"/>
        </w:numPr>
        <w:spacing w:after="80" w:before="40" w:line="300"/>
      </w:pPr>
      <w:r>
        <w:rPr>
          <w:rFonts w:ascii="Open Sans" w:cs="Open Sans" w:eastAsia="Open Sans" w:hAnsi="Open Sans"/>
          <w:color w:val="59595B"/>
          <w:sz w:val="22"/>
          <w:szCs w:val="22"/>
        </w:rPr>
        <w:t xml:space="preserve">Is the priority this year to raise more, to reach more families, to recover staff time — or some combination?</w:t>
      </w:r>
    </w:p>
    <w:p>
      <w:pPr>
        <w:pStyle w:val="Heading2"/>
        <w:keepNext/>
        <w:keepLines/>
        <w:spacing w:after="130" w:before="300"/>
      </w:pPr>
      <w:r>
        <w:rPr>
          <w:rFonts w:ascii="Open Sans" w:cs="Open Sans" w:eastAsia="Open Sans" w:hAnsi="Open Sans"/>
          <w:b/>
          <w:bCs/>
          <w:color w:val="CBDB2D"/>
          <w:sz w:val="27"/>
          <w:szCs w:val="27"/>
        </w:rPr>
        <w:t xml:space="preserve">D · People &amp; decision</w:t>
      </w:r>
    </w:p>
    <w:p>
      <w:pPr>
        <w:pStyle w:val="ListParagraph"/>
        <w:numPr>
          <w:ilvl w:val="0"/>
          <w:numId w:val="2"/>
        </w:numPr>
        <w:spacing w:after="80" w:before="40" w:line="300"/>
      </w:pPr>
      <w:r>
        <w:rPr>
          <w:rFonts w:ascii="Open Sans" w:cs="Open Sans" w:eastAsia="Open Sans" w:hAnsi="Open Sans"/>
          <w:color w:val="59595B"/>
          <w:sz w:val="22"/>
          <w:szCs w:val="22"/>
        </w:rPr>
        <w:t xml:space="preserve">Who leads development and marketing, and is there appetite to publish regular bilingual content and stories?</w:t>
      </w:r>
    </w:p>
    <w:p>
      <w:pPr>
        <w:pStyle w:val="ListParagraph"/>
        <w:numPr>
          <w:ilvl w:val="0"/>
          <w:numId w:val="2"/>
        </w:numPr>
        <w:spacing w:after="80" w:before="40" w:line="300"/>
      </w:pPr>
      <w:r>
        <w:rPr>
          <w:rFonts w:ascii="Open Sans" w:cs="Open Sans" w:eastAsia="Open Sans" w:hAnsi="Open Sans"/>
          <w:color w:val="59595B"/>
          <w:sz w:val="22"/>
          <w:szCs w:val="22"/>
        </w:rPr>
        <w:t xml:space="preserve">What is Sister Judy Vaughan’s current role alongside the Executive Director?</w:t>
      </w:r>
    </w:p>
    <w:p>
      <w:pPr>
        <w:pStyle w:val="ListParagraph"/>
        <w:numPr>
          <w:ilvl w:val="0"/>
          <w:numId w:val="2"/>
        </w:numPr>
        <w:spacing w:after="80" w:before="40" w:line="300"/>
      </w:pPr>
      <w:r>
        <w:rPr>
          <w:rFonts w:ascii="Open Sans" w:cs="Open Sans" w:eastAsia="Open Sans" w:hAnsi="Open Sans"/>
          <w:color w:val="59595B"/>
          <w:sz w:val="22"/>
          <w:szCs w:val="22"/>
        </w:rPr>
        <w:t xml:space="preserve">Who would sponsor this initiative, who else weighs in, and what would a successful first year look like?</w:t>
      </w:r>
    </w:p>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easiest way to answer</w:t>
            </w:r>
          </w:p>
          <w:p>
            <w:pPr>
              <w:keepNext w:val="false"/>
              <w:keepLines/>
              <w:spacing w:after="60" w:before="40" w:line="300"/>
            </w:pPr>
            <w:r>
              <w:rPr>
                <w:rFonts w:ascii="Open Sans" w:cs="Open Sans" w:eastAsia="Open Sans" w:hAnsi="Open Sans"/>
                <w:color w:val="59595B"/>
                <w:sz w:val="20"/>
                <w:szCs w:val="20"/>
              </w:rPr>
              <w:t xml:space="preserve">Most of these take a 45-minute discovery call. Several can also be mapped in a short AI Readiness session that returns a prioritized, costed plan — which is the cleanest, lowest-commitment first step.</w:t>
            </w:r>
          </w:p>
        </w:tc>
      </w:tr>
    </w:tbl>
    <w:p>
      <w:pPr>
        <w:pStyle w:val="Heading1"/>
        <w:keepNext/>
        <w:pageBreakBefore/>
        <w:spacing w:after="120" w:before="0" w:line="240"/>
      </w:pPr>
      <w:r>
        <w:rPr>
          <w:rFonts w:ascii="Open Sans" w:cs="Open Sans" w:eastAsia="Open Sans" w:hAnsi="Open Sans"/>
          <w:color w:val="FFFFFF"/>
          <w:sz w:val="2"/>
          <w:szCs w:val="2"/>
        </w:rPr>
        <w:t xml:space="preserve">15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15  What Happens Next</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A low-commitment sequence that produces something useful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4867"/>
        <w:gridCol w:w="3745"/>
      </w:tblGrid>
      <w:tr>
        <w:trPr>
          <w:tblHeader/>
        </w:trPr>
        <w:tc>
          <w:tcPr>
            <w:tcW w:type="dxa" w:w="74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Step</w:t>
            </w:r>
          </w:p>
        </w:tc>
        <w:tc>
          <w:tcPr>
            <w:tcW w:type="dxa" w:w="4867"/>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happens</w:t>
            </w:r>
          </w:p>
        </w:tc>
        <w:tc>
          <w:tcPr>
            <w:tcW w:type="dxa" w:w="374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Your commitment</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1</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short conversation — walk this blueprint and the Section 14 questions together.</w:t>
            </w:r>
          </w:p>
        </w:tc>
        <w:tc>
          <w:tcPr>
            <w:tcW w:type="dxa" w:w="374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meeting. No commitment.</w:t>
            </w:r>
          </w:p>
        </w:tc>
      </w:tr>
      <w:tr>
        <w:trPr>
          <w:cantSplit/>
        </w:trPr>
        <w:tc>
          <w:tcPr>
            <w:tcW w:type="dxa" w:w="74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2</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An AI Readiness session — map your fundraising workflows and return a prioritized, costed plan, scoped to budget.</w:t>
            </w:r>
          </w:p>
        </w:tc>
        <w:tc>
          <w:tcPr>
            <w:tcW w:type="dxa" w:w="374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small, fixed engagement; the plan is yours.</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3</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Start small — the free tech set-up, a Spanish page, and one automation; grow as each step proves out.</w:t>
            </w:r>
          </w:p>
        </w:tc>
        <w:tc>
          <w:tcPr>
            <w:tcW w:type="dxa" w:w="374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You decide, with real numbers in hand.</w:t>
            </w:r>
          </w:p>
        </w:tc>
      </w:tr>
    </w:tbl>
    <w:p>
      <w:pPr>
        <w:keepNext/>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Let’s start the conversation</w:t>
            </w:r>
          </w:p>
          <w:p>
            <w:pPr>
              <w:keepNext/>
              <w:keepLines/>
              <w:spacing w:after="60" w:before="40" w:line="300"/>
            </w:pPr>
            <w:r>
              <w:rPr>
                <w:rFonts w:ascii="Open Sans" w:cs="Open Sans" w:eastAsia="Open Sans" w:hAnsi="Open Sans"/>
                <w:color w:val="59595B"/>
                <w:sz w:val="20"/>
                <w:szCs w:val="20"/>
              </w:rPr>
              <w:t xml:space="preserve">The easiest first step is a short working session on where AI creates measurable value for Alexandria House — no obligation. We will come having done our homework, and we will be honest about what is free, what is worth paying for, and what can wait.</w:t>
            </w:r>
          </w:p>
          <w:p>
            <w:pPr>
              <w:keepNext w:val="false"/>
              <w:keepLines/>
              <w:spacing w:after="60" w:before="40" w:line="300"/>
            </w:pPr>
            <w:r>
              <w:rPr>
                <w:rFonts w:ascii="Open Sans" w:cs="Open Sans" w:eastAsia="Open Sans" w:hAnsi="Open Sans"/>
                <w:color w:val="59595B"/>
                <w:sz w:val="20"/>
                <w:szCs w:val="20"/>
              </w:rPr>
              <w:t xml:space="preserve">Ravi Jain, Founder &amp; CEO · rjain@technijian.com · 949.379.8499 · technijian.com</w:t>
            </w:r>
          </w:p>
        </w:tc>
      </w:tr>
    </w:tbl>
    <w:p>
      <w:pPr>
        <w:pStyle w:val="Heading1"/>
        <w:keepNext/>
        <w:pageBreakBefore/>
        <w:spacing w:after="120" w:before="0" w:line="240"/>
      </w:pPr>
      <w:r>
        <w:rPr>
          <w:rFonts w:ascii="Open Sans" w:cs="Open Sans" w:eastAsia="Open Sans" w:hAnsi="Open Sans"/>
          <w:color w:val="FFFFFF"/>
          <w:sz w:val="2"/>
          <w:szCs w:val="2"/>
        </w:rPr>
        <w:t xml:space="preserve">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About Technijian</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 strategy and implementation firm and full-spectrum IT services company founded in 2000 by Ravi Jain. We help organizations move from AI curiosity to operational deployment — we architect, build, and operationalize through to production. Our dedicated pod model assigns a named team to each client, and our Irvine, California and Panchkula, India offices provide coverage across time zones. Our approach is practical, cost-conscious, and AI-forward — and for mission-driven organizations, we lean first on the free and granted technology that nonprofits qualify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Contact</w:t>
            </w:r>
          </w:p>
        </w:tc>
        <w:tc>
          <w:tcPr>
            <w:tcW w:type="dxa" w:w="6552"/>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Detail</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Primary contact</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Ravi Jain, Founder &amp; CEO — rjain@technijian.com</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Main line</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949.379.8499 (reaches both U.S. and India teams)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U.S. headquarters</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18 Technology Dr., Ste 141, Irvine, CA 92618</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India delivery center</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Panchkula, Haryana, India</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Web</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technijian.com · technology as a solution</w:t>
            </w:r>
          </w:p>
        </w:tc>
      </w:tr>
    </w:tbl>
    <w:p>
      <w:pPr>
        <w:pStyle w:val="Heading1"/>
        <w:keepNext/>
        <w:pageBreakBefore/>
        <w:spacing w:after="120" w:before="0" w:line="240"/>
      </w:pPr>
      <w:r>
        <w:rPr>
          <w:rFonts w:ascii="Open Sans" w:cs="Open Sans" w:eastAsia="Open Sans" w:hAnsi="Open Sans"/>
          <w:color w:val="FFFFFF"/>
          <w:sz w:val="2"/>
          <w:szCs w:val="2"/>
        </w:rPr>
        <w:t xml:space="preserve">Appendix — Sources &amp; What Remains to Confirm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Appendix — Sources &amp; What Remains to Confirm</w:t>
            </w:r>
          </w:p>
        </w:tc>
      </w:tr>
    </w:tbl>
    <w:p>
      <w:pPr>
        <w:keepNext/>
        <w:spacing w:after="0" w:before="120"/>
      </w:pPr>
      <w:r>
        <w:t xml:space="preserve"/>
      </w:r>
    </w:p>
    <w:p>
      <w:pPr>
        <w:pStyle w:val="Heading2"/>
        <w:keepNext/>
        <w:keepLines/>
        <w:spacing w:after="130" w:before="300"/>
      </w:pPr>
      <w:r>
        <w:rPr>
          <w:rFonts w:ascii="Open Sans" w:cs="Open Sans" w:eastAsia="Open Sans" w:hAnsi="Open Sans"/>
          <w:b/>
          <w:bCs/>
          <w:color w:val="006DB6"/>
          <w:sz w:val="27"/>
          <w:szCs w:val="27"/>
        </w:rPr>
        <w:t xml:space="preserve">What we verified vs. what we set aside</w:t>
      </w:r>
    </w:p>
    <w:p>
      <w:pPr>
        <w:pStyle w:val="ListParagraph"/>
        <w:numPr>
          <w:ilvl w:val="0"/>
          <w:numId w:val="2"/>
        </w:numPr>
        <w:spacing w:after="80" w:before="40" w:line="300"/>
      </w:pPr>
      <w:r>
        <w:rPr>
          <w:rFonts w:ascii="Open Sans" w:cs="Open Sans" w:eastAsia="Open Sans" w:hAnsi="Open Sans"/>
          <w:color w:val="59595B"/>
          <w:sz w:val="22"/>
          <w:szCs w:val="22"/>
        </w:rPr>
        <w:t xml:space="preserve">Mission, the Circle of Support, founding in 1996 by Sister Judy Vaughan, CSJ, and program set — VERIFIED (alexandriahouse.org; Angelus News; The Guibord Center).</w:t>
      </w:r>
    </w:p>
    <w:p>
      <w:pPr>
        <w:pStyle w:val="ListParagraph"/>
        <w:numPr>
          <w:ilvl w:val="0"/>
          <w:numId w:val="2"/>
        </w:numPr>
        <w:spacing w:after="80" w:before="40" w:line="300"/>
      </w:pPr>
      <w:r>
        <w:rPr>
          <w:rFonts w:ascii="Open Sans" w:cs="Open Sans" w:eastAsia="Open Sans" w:hAnsi="Open Sans"/>
          <w:color w:val="59595B"/>
          <w:sz w:val="22"/>
          <w:szCs w:val="22"/>
        </w:rPr>
        <w:t xml:space="preserve">501(c)(3) status, EIN 95-4809755, March 2001 IRS recognition, and FY2024 financials (revenue ~$3.15M, expenses ~$4.14M) — VERIFIED (ProPublica Nonprofit Explorer; IRS Form 990).</w:t>
      </w:r>
    </w:p>
    <w:p>
      <w:pPr>
        <w:pStyle w:val="ListParagraph"/>
        <w:numPr>
          <w:ilvl w:val="0"/>
          <w:numId w:val="2"/>
        </w:numPr>
        <w:spacing w:after="80" w:before="40" w:line="300"/>
      </w:pPr>
      <w:r>
        <w:rPr>
          <w:rFonts w:ascii="Open Sans" w:cs="Open Sans" w:eastAsia="Open Sans" w:hAnsi="Open Sans"/>
          <w:color w:val="59595B"/>
          <w:sz w:val="22"/>
          <w:szCs w:val="22"/>
        </w:rPr>
        <w:t xml:space="preserve">Leadership — Marissa Espinoza (ED since July 2022), Sister Judy Vaughan (Founding Director), Aletheia Broom (Associate Director) — VERIFIED (LinkedIn; ProPublica; press).</w:t>
      </w:r>
    </w:p>
    <w:p>
      <w:pPr>
        <w:pStyle w:val="ListParagraph"/>
        <w:numPr>
          <w:ilvl w:val="0"/>
          <w:numId w:val="2"/>
        </w:numPr>
        <w:spacing w:after="80" w:before="40" w:line="300"/>
      </w:pPr>
      <w:r>
        <w:rPr>
          <w:rFonts w:ascii="Open Sans" w:cs="Open Sans" w:eastAsia="Open Sans" w:hAnsi="Open Sans"/>
          <w:color w:val="59595B"/>
          <w:sz w:val="22"/>
          <w:szCs w:val="22"/>
        </w:rPr>
        <w:t xml:space="preserve">Housing footprint (16-unit and 39-unit buildings) and partners (Hollywood Community Housing Corporation; Carrie Estelle Doheny Foundation) — VERIFIED (partner sites; press).</w:t>
      </w:r>
    </w:p>
    <w:p>
      <w:pPr>
        <w:pStyle w:val="ListParagraph"/>
        <w:numPr>
          <w:ilvl w:val="0"/>
          <w:numId w:val="2"/>
        </w:numPr>
        <w:spacing w:after="80" w:before="40" w:line="300"/>
      </w:pPr>
      <w:r>
        <w:rPr>
          <w:rFonts w:ascii="Open Sans" w:cs="Open Sans" w:eastAsia="Open Sans" w:hAnsi="Open Sans"/>
          <w:color w:val="59595B"/>
          <w:sz w:val="22"/>
          <w:szCs w:val="22"/>
        </w:rPr>
        <w:t xml:space="preserve">Impact figures (200 women &amp; families / 315 children; 92% retention) — attributed as organization-reported, not independently audited.</w:t>
      </w:r>
    </w:p>
    <w:p>
      <w:pPr>
        <w:pStyle w:val="ListParagraph"/>
        <w:numPr>
          <w:ilvl w:val="0"/>
          <w:numId w:val="2"/>
        </w:numPr>
        <w:spacing w:after="80" w:before="40" w:line="300"/>
      </w:pPr>
      <w:r>
        <w:rPr>
          <w:rFonts w:ascii="Open Sans" w:cs="Open Sans" w:eastAsia="Open Sans" w:hAnsi="Open Sans"/>
          <w:color w:val="59595B"/>
          <w:sz w:val="22"/>
          <w:szCs w:val="22"/>
        </w:rPr>
        <w:t xml:space="preserve">All "Alexandra House" (Minnesota) figures — EXCLUDED as a different organization; a circulating founder-order mix-up — CORRECTED to CSJ; one outsized single-year revenue figure in a public database — SET ASIDE as a likely data artifact.</w:t>
      </w:r>
    </w:p>
    <w:p>
      <w:pPr>
        <w:pStyle w:val="ListParagraph"/>
        <w:numPr>
          <w:ilvl w:val="0"/>
          <w:numId w:val="2"/>
        </w:numPr>
        <w:spacing w:after="80" w:before="40" w:line="300"/>
      </w:pPr>
      <w:r>
        <w:rPr>
          <w:rFonts w:ascii="Open Sans" w:cs="Open Sans" w:eastAsia="Open Sans" w:hAnsi="Open Sans"/>
          <w:color w:val="59595B"/>
          <w:sz w:val="22"/>
          <w:szCs w:val="22"/>
        </w:rPr>
        <w:t xml:space="preserve">Current annual people served, board roster, present funding mix, current LAHSA/government funding, and named flagship events — NOT independently confirmed; listed as questions in Section 14.</w:t>
      </w:r>
    </w:p>
    <w:p>
      <w:pPr>
        <w:pStyle w:val="Heading2"/>
        <w:keepNext/>
        <w:keepLines/>
        <w:spacing w:after="130" w:before="300"/>
      </w:pPr>
      <w:r>
        <w:rPr>
          <w:rFonts w:ascii="Open Sans" w:cs="Open Sans" w:eastAsia="Open Sans" w:hAnsi="Open Sans"/>
          <w:b/>
          <w:bCs/>
          <w:color w:val="006DB6"/>
          <w:sz w:val="27"/>
          <w:szCs w:val="27"/>
        </w:rPr>
        <w:t xml:space="preserve">Selected sources</w:t>
      </w:r>
    </w:p>
    <w:p>
      <w:pPr>
        <w:pStyle w:val="ListParagraph"/>
        <w:numPr>
          <w:ilvl w:val="0"/>
          <w:numId w:val="2"/>
        </w:numPr>
        <w:spacing w:after="80" w:before="40" w:line="300"/>
      </w:pPr>
      <w:r>
        <w:rPr>
          <w:rFonts w:ascii="Open Sans" w:cs="Open Sans" w:eastAsia="Open Sans" w:hAnsi="Open Sans"/>
          <w:color w:val="59595B"/>
          <w:sz w:val="22"/>
          <w:szCs w:val="22"/>
        </w:rPr>
        <w:t xml:space="preserve">Alexandria House — home, about, SUSLA, and Kenmore pages: alexandriahouse.org.</w:t>
      </w:r>
    </w:p>
    <w:p>
      <w:pPr>
        <w:pStyle w:val="ListParagraph"/>
        <w:numPr>
          <w:ilvl w:val="0"/>
          <w:numId w:val="2"/>
        </w:numPr>
        <w:spacing w:after="80" w:before="40" w:line="300"/>
      </w:pPr>
      <w:r>
        <w:rPr>
          <w:rFonts w:ascii="Open Sans" w:cs="Open Sans" w:eastAsia="Open Sans" w:hAnsi="Open Sans"/>
          <w:color w:val="59595B"/>
          <w:sz w:val="22"/>
          <w:szCs w:val="22"/>
        </w:rPr>
        <w:t xml:space="preserve">Financial / regulatory — ProPublica Nonprofit Explorer and IRS Form 990 (EIN 95-4809755); Charity Navigator; Candid/GuideStar (via the organization’s site).</w:t>
      </w:r>
    </w:p>
    <w:p>
      <w:pPr>
        <w:pStyle w:val="ListParagraph"/>
        <w:numPr>
          <w:ilvl w:val="0"/>
          <w:numId w:val="2"/>
        </w:numPr>
        <w:spacing w:after="80" w:before="40" w:line="300"/>
      </w:pPr>
      <w:r>
        <w:rPr>
          <w:rFonts w:ascii="Open Sans" w:cs="Open Sans" w:eastAsia="Open Sans" w:hAnsi="Open Sans"/>
          <w:color w:val="59595B"/>
          <w:sz w:val="22"/>
          <w:szCs w:val="22"/>
        </w:rPr>
        <w:t xml:space="preserve">Press &amp; profiles — Angelus News; The Guibord Center; VoyageLA; Larchmont Chronicle / Larchmont Buzz; LAist, CalMatters, NBC LA, FOX 11, The Real Deal (2026 HUD/LAHSA coverage).</w:t>
      </w:r>
    </w:p>
    <w:p>
      <w:pPr>
        <w:pStyle w:val="ListParagraph"/>
        <w:numPr>
          <w:ilvl w:val="0"/>
          <w:numId w:val="2"/>
        </w:numPr>
        <w:spacing w:after="80" w:before="40" w:line="300"/>
      </w:pPr>
      <w:r>
        <w:rPr>
          <w:rFonts w:ascii="Open Sans" w:cs="Open Sans" w:eastAsia="Open Sans" w:hAnsi="Open Sans"/>
          <w:color w:val="59595B"/>
          <w:sz w:val="22"/>
          <w:szCs w:val="22"/>
        </w:rPr>
        <w:t xml:space="preserve">Partners &amp; funders — Hollywood Community Housing Corporation; Carrie Estelle Doheny Foundation; Marilyn and John Wells Family Foundation (capital lead gift).</w:t>
      </w:r>
    </w:p>
    <w:p>
      <w:pPr>
        <w:pStyle w:val="ListParagraph"/>
        <w:numPr>
          <w:ilvl w:val="0"/>
          <w:numId w:val="2"/>
        </w:numPr>
        <w:spacing w:after="80" w:before="40" w:line="300"/>
      </w:pPr>
      <w:r>
        <w:rPr>
          <w:rFonts w:ascii="Open Sans" w:cs="Open Sans" w:eastAsia="Open Sans" w:hAnsi="Open Sans"/>
          <w:color w:val="59595B"/>
          <w:sz w:val="22"/>
          <w:szCs w:val="22"/>
        </w:rPr>
        <w:t xml:space="preserve">Sector &amp; nonprofit-AI — BryteBridge (2024 nonprofit revenue &amp; grant statistics); TechSoup × Tapp Network State of AI in Nonprofits (2025); Nonprofit Productivity Report (2025); Google for Nonprofits + Google Ad Grants; Microsoft for Nonprofits; Candid; Instrumentl; TechSoup.</w:t>
      </w:r>
    </w:p>
    <w:p>
      <w:pPr>
        <w:pStyle w:val="ListParagraph"/>
        <w:numPr>
          <w:ilvl w:val="0"/>
          <w:numId w:val="2"/>
        </w:numPr>
        <w:spacing w:after="80" w:before="40" w:line="300"/>
      </w:pPr>
      <w:r>
        <w:rPr>
          <w:rFonts w:ascii="Open Sans" w:cs="Open Sans" w:eastAsia="Open Sans" w:hAnsi="Open Sans"/>
          <w:color w:val="59595B"/>
          <w:sz w:val="22"/>
          <w:szCs w:val="22"/>
        </w:rPr>
        <w:t xml:space="preserve">AI framing &amp; guardrails — MIT Sloan (AI literacy); Anthropic (workflows vs. agents); NIST AI Risk Management Framework; funder AI policies (NIH, NSF, Spencer Foundation, Wellcome) via Thesify.</w:t>
      </w:r>
    </w:p>
    <w:p>
      <w:pPr>
        <w:keepNext/>
        <w:spacing w:after="0" w:before="120"/>
      </w:pPr>
      <w:r>
        <w:t xml:space="preserve"/>
      </w:r>
    </w:p>
    <w:p>
      <w:pPr>
        <w:spacing w:after="80" w:before="0" w:line="320"/>
        <w:jc w:val="both"/>
      </w:pPr>
      <w:r>
        <w:rPr>
          <w:rFonts w:ascii="Open Sans" w:cs="Open Sans" w:eastAsia="Open Sans" w:hAnsi="Open Sans"/>
          <w:b w:val="false"/>
          <w:bCs w:val="false"/>
          <w:i/>
          <w:iCs/>
          <w:color w:val="59595B"/>
          <w:sz w:val="18"/>
          <w:szCs w:val="18"/>
        </w:rPr>
        <w:t xml:space="preserve">Sector and market figures describe the wider nonprofit environment; figures specific to Alexandria House are drawn from public filings and the organization’s own statements, with anything uncertain deferred to discovery. Prepared by Technijian, June 16, 2026.</w:t>
      </w:r>
    </w:p>
    <w:p>
      <w:pPr>
        <w:spacing w:after="80" w:before="0" w:line="320"/>
        <w:jc w:val="both"/>
      </w:pPr>
      <w:r>
        <w:rPr>
          <w:rFonts w:ascii="Open Sans" w:cs="Open Sans" w:eastAsia="Open Sans" w:hAnsi="Open Sans"/>
          <w:b w:val="false"/>
          <w:bCs w:val="false"/>
          <w:i/>
          <w:iCs/>
          <w:color w:val="59595B"/>
          <w:sz w:val="18"/>
          <w:szCs w:val="18"/>
        </w:rPr>
        <w:t xml:space="preserve">Data-hygiene note: Alexandria House (Los Angeles, EIN 95-4809755) is a different organization from Alexandra House, Inc. (Anoka County, Minnesota). The founder’s religious order is the Sisters of St. Joseph of Carondelet (CSJ).</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b/>
        <w:bCs/>
        <w:color w:val="59595B"/>
        <w:sz w:val="16"/>
        <w:szCs w:val="16"/>
      </w:rPr>
      <w:t xml:space="preserve">Technijian</w:t>
    </w:r>
    <w:r>
      <w:rPr>
        <w:rFonts w:ascii="Open Sans" w:cs="Open Sans" w:eastAsia="Open Sans" w:hAnsi="Open Sans"/>
        <w:color w:val="59595B"/>
        <w:sz w:val="16"/>
        <w:szCs w:val="16"/>
      </w:rPr>
      <w:t xml:space="preserve">  ·  technology as a solution  ·  technijian.com  ·  949.379.8499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6DB6" w:sz="6"/>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r>
            <w:drawing>
              <wp:inline distT="0" distB="0" distL="0" distR="0">
                <wp:extent cx="1257300" cy="26670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2667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rPr>
              <w:rFonts w:ascii="Open Sans" w:cs="Open Sans" w:eastAsia="Open Sans" w:hAnsi="Open Sans"/>
              <w:color w:val="59595B"/>
              <w:sz w:val="16"/>
              <w:szCs w:val="16"/>
            </w:rPr>
            <w:t xml:space="preserve">Alexandria House  ·  AI Growth Blueprint</w:t>
          </w:r>
        </w:p>
      </w:tc>
    </w:tr>
  </w:tbl>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80" w:before="300"/>
      <w:outlineLvl w:val="1"/>
    </w:pPr>
    <w:rPr>
      <w:rFonts w:ascii="Open Sans" w:cs="Open Sans" w:eastAsia="Open Sans" w:hAnsi="Open Sans"/>
      <w:b/>
      <w:bCs/>
      <w:color w:val="006DB6"/>
      <w:sz w:val="28"/>
      <w:szCs w:val="28"/>
    </w:rPr>
  </w:style>
  <w:style w:type="paragraph" w:styleId="Heading3">
    <w:name w:val="Heading 3"/>
    <w:basedOn w:val="Normal"/>
    <w:next w:val="Normal"/>
    <w:qFormat/>
    <w:pPr>
      <w:spacing w:after="120" w:before="24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6efe721a073bae757471ade663c54142e1066965.png"/><Relationship Id="rId11" Type="http://schemas.openxmlformats.org/officeDocument/2006/relationships/image" Target="media/8e49552f5e4c85867001f82157ee0d626cbc33bc.png"/><Relationship Id="rId12" Type="http://schemas.openxmlformats.org/officeDocument/2006/relationships/image" Target="media/848fdc5e50659d00a8da488b3562488702d2eba4.png"/><Relationship Id="rId13" Type="http://schemas.openxmlformats.org/officeDocument/2006/relationships/image" Target="media/dcece8bf71f6057f926a844dce582707c2f5ee63.png"/><Relationship Id="rId14" Type="http://schemas.openxmlformats.org/officeDocument/2006/relationships/image" Target="media/7a8245701bb7db6d1e8eeec117d0a396cfeb111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Alexandria House — AI Growth Blueprint</dc:title>
  <dc:creator>Technijian</dc:creator>
  <dc:description>A facts-only AI Growth blueprint for Alexandria House, prepared by Technijian.</dc:description>
  <cp:lastModifiedBy>Un-named</cp:lastModifiedBy>
  <cp:revision>1</cp:revision>
  <dcterms:created xsi:type="dcterms:W3CDTF">2026-06-16T23:14:25.280Z</dcterms:created>
  <dcterms:modified xsi:type="dcterms:W3CDTF">2026-06-16T23:14:25.282Z</dcterms:modified>
</cp:coreProperties>
</file>

<file path=docProps/custom.xml><?xml version="1.0" encoding="utf-8"?>
<Properties xmlns="http://schemas.openxmlformats.org/officeDocument/2006/custom-properties" xmlns:vt="http://schemas.openxmlformats.org/officeDocument/2006/docPropsVTypes"/>
</file>