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6DB6" w:val="clear"/>
          </w:tcPr>
          <w:p>
            <w:pPr>
              <w:spacing w:after="0" w:before="200"/>
            </w:pPr>
            <w:r>
              <w:t xml:space="preserve"/>
            </w:r>
          </w:p>
        </w:tc>
      </w:tr>
    </w:tbl>
    <w:p>
      <w:pPr>
        <w:spacing w:after="0" w:before="800"/>
      </w:pPr>
      <w:r>
        <w:t xml:space="preserve"/>
      </w:r>
    </w:p>
    <w:p>
      <w:pPr>
        <w:jc w:val="center"/>
      </w:pPr>
      <w:r>
        <w:drawing>
          <wp:inline distT="0" distB="0" distL="0" distR="0">
            <wp:extent cx="247650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514350"/>
                    </a:xfrm>
                    <a:prstGeom prst="rect">
                      <a:avLst/>
                    </a:prstGeom>
                  </pic:spPr>
                </pic:pic>
              </a:graphicData>
            </a:graphic>
          </wp:inline>
        </w:drawing>
      </w:r>
    </w:p>
    <w:p>
      <w:pPr>
        <w:spacing w:after="0" w:before="4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5360"/>
        <w:gridCol w:w="2000"/>
      </w:tblGrid>
      <w:tr>
        <w:tc>
          <w:tcPr>
            <w:tcBorders>
              <w:top w:val="none" w:color="FFFFFF" w:sz="0"/>
              <w:left w:val="none" w:color="FFFFFF" w:sz="0"/>
              <w:bottom w:val="none" w:color="FFFFFF" w:sz="0"/>
              <w:right w:val="none" w:color="FFFFFF" w:sz="0"/>
            </w:tcBorders>
          </w:tcPr>
          <w:p>
            <w:r>
              <w:t xml:space="preserve"/>
            </w:r>
          </w:p>
        </w:tc>
        <w:tc>
          <w:tcPr>
            <w:tcBorders>
              <w:bottom w:val="single" w:color="F67D4B" w:sz="12"/>
            </w:tcBorders>
          </w:tcPr>
          <w:p>
            <w:r>
              <w:t xml:space="preserve"/>
            </w:r>
          </w:p>
        </w:tc>
        <w:tc>
          <w:tcPr>
            <w:tcBorders>
              <w:top w:val="none" w:color="FFFFFF" w:sz="0"/>
              <w:left w:val="none" w:color="FFFFFF" w:sz="0"/>
              <w:bottom w:val="none" w:color="FFFFFF" w:sz="0"/>
              <w:right w:val="none" w:color="FFFFFF" w:sz="0"/>
            </w:tcBorders>
          </w:tcPr>
          <w:p>
            <w:r>
              <w:t xml:space="preserve"/>
            </w:r>
          </w:p>
        </w:tc>
      </w:tr>
    </w:tbl>
    <w:p>
      <w:pPr>
        <w:spacing w:after="0" w:before="300"/>
      </w:pPr>
      <w:r>
        <w:t xml:space="preserve"/>
      </w:r>
    </w:p>
    <w:p>
      <w:pPr>
        <w:spacing w:after="60"/>
        <w:jc w:val="center"/>
      </w:pPr>
      <w:r>
        <w:rPr>
          <w:rFonts w:ascii="Open Sans" w:cs="Open Sans" w:eastAsia="Open Sans" w:hAnsi="Open Sans"/>
          <w:b/>
          <w:bCs/>
          <w:color w:val="1A1A2E"/>
          <w:sz w:val="52"/>
          <w:szCs w:val="52"/>
        </w:rPr>
        <w:t xml:space="preserve">ALGRO INTERNATIONAL</w:t>
      </w:r>
    </w:p>
    <w:p>
      <w:pPr>
        <w:spacing w:after="80"/>
        <w:jc w:val="center"/>
      </w:pPr>
      <w:r>
        <w:rPr>
          <w:rFonts w:ascii="Open Sans" w:cs="Open Sans" w:eastAsia="Open Sans" w:hAnsi="Open Sans"/>
          <w:b w:val="false"/>
          <w:bCs w:val="false"/>
          <w:color w:val="59595B"/>
          <w:sz w:val="24"/>
          <w:szCs w:val="24"/>
        </w:rPr>
        <w:t xml:space="preserve">Premium Specialty Rice &amp; Grains  ·  Private-Label, Foodservice &amp; Industrial</w:t>
      </w:r>
    </w:p>
    <w:p>
      <w:pPr>
        <w:spacing w:after="80"/>
        <w:jc w:val="center"/>
      </w:pPr>
      <w:r>
        <w:rPr>
          <w:rFonts w:ascii="Open Sans" w:cs="Open Sans" w:eastAsia="Open Sans" w:hAnsi="Open Sans"/>
          <w:b w:val="false"/>
          <w:bCs w:val="false"/>
          <w:color w:val="006DB6"/>
          <w:sz w:val="40"/>
          <w:szCs w:val="40"/>
        </w:rPr>
        <w:t xml:space="preserve">AI-Driven Growth Blueprint</w:t>
      </w:r>
    </w:p>
    <w:p>
      <w:pPr>
        <w:spacing w:after="0" w:before="80"/>
      </w:pPr>
      <w:r>
        <w:t xml:space="preserve"/>
      </w:r>
    </w:p>
    <w:p>
      <w:pPr>
        <w:spacing w:after="40"/>
        <w:jc w:val="center"/>
      </w:pPr>
      <w:r>
        <w:rPr>
          <w:rFonts w:ascii="Open Sans" w:cs="Open Sans" w:eastAsia="Open Sans" w:hAnsi="Open Sans"/>
          <w:color w:val="59595B"/>
          <w:sz w:val="22"/>
          <w:szCs w:val="22"/>
        </w:rPr>
        <w:t xml:space="preserve">Prepared by Technijian  |  2026-05-28</w:t>
      </w:r>
    </w:p>
    <w:p>
      <w:pPr>
        <w:spacing w:after="40"/>
        <w:jc w:val="center"/>
      </w:pPr>
      <w:r>
        <w:rPr>
          <w:rFonts w:ascii="Open Sans" w:cs="Open Sans" w:eastAsia="Open Sans" w:hAnsi="Open Sans"/>
          <w:color w:val="59595B"/>
          <w:sz w:val="22"/>
          <w:szCs w:val="22"/>
        </w:rPr>
        <w:t xml:space="preserve">Irvine, California  |  algrointernational.com</w:t>
      </w:r>
    </w:p>
    <w:p>
      <w:pPr>
        <w:spacing w:after="0" w:before="6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67D4B" w:val="clear"/>
          </w:tcPr>
          <w:p>
            <w:pPr>
              <w:spacing w:after="0" w:before="160"/>
            </w:pPr>
            <w:r>
              <w:t xml:space="preserve"/>
            </w:r>
          </w:p>
        </w:tc>
      </w:tr>
    </w:tbl>
    <w:p>
      <w:pPr>
        <w:spacing w:after="0" w:before="120"/>
      </w:pPr>
      <w:r>
        <w:t xml:space="preserve"/>
      </w:r>
    </w:p>
    <w:p>
      <w:pPr>
        <w:jc w:val="center"/>
      </w:pPr>
      <w:r>
        <w:rPr>
          <w:rFonts w:ascii="Open Sans" w:cs="Open Sans" w:eastAsia="Open Sans" w:hAnsi="Open Sans"/>
          <w:i/>
          <w:iCs/>
          <w:color w:val="59595B"/>
          <w:sz w:val="18"/>
          <w:szCs w:val="18"/>
        </w:rPr>
        <w:t xml:space="preserve">CONFIDENTIAL — Prepared exclusively for Algro International LLC</w:t>
      </w:r>
    </w:p>
    <w:p>
      <w:r>
        <w:br w:type="page"/>
      </w:r>
    </w:p>
    <w:sdt>
      <w:sdtPr>
        <w:alias w:val="Table of Contents"/>
      </w:sdtPr>
      <w:sdtContent>
        <w:p>
          <w:r>
            <w:fldChar w:fldCharType="begin" w:dirty="true"/>
            <w:instrText xml:space="preserve">TOC \h \o "1-2"</w:instrText>
            <w:fldChar w:fldCharType="separate"/>
          </w:r>
        </w:p>
        <w:p>
          <w:r>
            <w:fldChar w:fldCharType="end"/>
          </w:r>
        </w:p>
      </w:sdtContent>
    </w:sdt>
    <w:p>
      <w:pPr>
        <w:pStyle w:val="Heading1"/>
        <w:keepNext/>
        <w:pageBreakBefore/>
        <w:spacing w:after="120" w:before="0" w:line="240"/>
      </w:pPr>
      <w:r>
        <w:rPr>
          <w:rFonts w:ascii="Open Sans" w:cs="Open Sans" w:eastAsia="Open Sans" w:hAnsi="Open Sans"/>
          <w:color w:val="FFFFFF"/>
          <w:sz w:val="2"/>
          <w:szCs w:val="2"/>
        </w:rPr>
        <w:t xml:space="preserve">01  Executive Summary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01  Executive Summary</w:t>
            </w:r>
          </w:p>
        </w:tc>
      </w:tr>
    </w:tbl>
    <w:p>
      <w:pPr>
        <w:spacing w:after="0" w:before="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006DB6"/>
                <w:sz w:val="44"/>
                <w:szCs w:val="44"/>
              </w:rPr>
              <w:t xml:space="preserve">1969</w:t>
            </w:r>
          </w:p>
          <w:p>
            <w:pPr>
              <w:spacing w:after="0"/>
              <w:jc w:val="center"/>
            </w:pPr>
            <w:r>
              <w:rPr>
                <w:rFonts w:ascii="Open Sans" w:cs="Open Sans" w:eastAsia="Open Sans" w:hAnsi="Open Sans"/>
                <w:color w:val="59595B"/>
                <w:sz w:val="17"/>
                <w:szCs w:val="17"/>
              </w:rPr>
              <w:t xml:space="preserve">Parent Bharat Industrial Founded</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F67D4B"/>
                <w:sz w:val="44"/>
                <w:szCs w:val="44"/>
              </w:rPr>
              <w:t xml:space="preserve">11–50</w:t>
            </w:r>
          </w:p>
          <w:p>
            <w:pPr>
              <w:spacing w:after="0"/>
              <w:jc w:val="center"/>
            </w:pPr>
            <w:r>
              <w:rPr>
                <w:rFonts w:ascii="Open Sans" w:cs="Open Sans" w:eastAsia="Open Sans" w:hAnsi="Open Sans"/>
                <w:color w:val="59595B"/>
                <w:sz w:val="17"/>
                <w:szCs w:val="17"/>
              </w:rPr>
              <w:t xml:space="preserve">US Team across Irvine, NJ &amp; BC</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1EAAC8"/>
                <w:sz w:val="44"/>
                <w:szCs w:val="44"/>
              </w:rPr>
              <w:t xml:space="preserve">18%</w:t>
            </w:r>
          </w:p>
          <w:p>
            <w:pPr>
              <w:spacing w:after="0"/>
              <w:jc w:val="center"/>
            </w:pPr>
            <w:r>
              <w:rPr>
                <w:rFonts w:ascii="Open Sans" w:cs="Open Sans" w:eastAsia="Open Sans" w:hAnsi="Open Sans"/>
                <w:color w:val="59595B"/>
                <w:sz w:val="17"/>
                <w:szCs w:val="17"/>
              </w:rPr>
              <w:t xml:space="preserve">US Tariff after 2025–26 swing (10→50→18%)</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C9922A"/>
                <w:sz w:val="44"/>
                <w:szCs w:val="44"/>
              </w:rPr>
              <w:t xml:space="preserve">2028</w:t>
            </w:r>
          </w:p>
          <w:p>
            <w:pPr>
              <w:spacing w:after="0"/>
              <w:jc w:val="center"/>
            </w:pPr>
            <w:r>
              <w:rPr>
                <w:rFonts w:ascii="Open Sans" w:cs="Open Sans" w:eastAsia="Open Sans" w:hAnsi="Open Sans"/>
                <w:color w:val="59595B"/>
                <w:sz w:val="17"/>
                <w:szCs w:val="17"/>
              </w:rPr>
              <w:t xml:space="preserve">FSMA 204 Enforcement (extended Aug 2025)</w:t>
            </w:r>
          </w:p>
        </w:tc>
      </w:tr>
    </w:tbl>
    <w:p>
      <w:pPr>
        <w:spacing w:after="0" w:before="3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Algro International is the US arm of a 57-year-old Indian rice miller, Bharat Industrial Enterprises Ltd, with three North American facilities — Irvine, Jersey City, and Burnaby, BC — and a product line that runs from premium Indian basmati and Thai jasmine to organic, instant, ready-to-serve, and individually quick-frozen rice. The company sells through three channels — industrial procurement at CPG manufacturers, foodservice operators and their broadline distributors, and the private-label teams at the major retailers. The buyer universe in each channel is finite and named, which makes this an account-based business, not a broad-market one — and that single fact decides how AI is applied.</w:t>
      </w:r>
    </w:p>
    <w:p>
      <w:pPr>
        <w:spacing w:after="140" w:before="0" w:line="320"/>
        <w:jc w:val="both"/>
      </w:pPr>
      <w:r>
        <w:rPr>
          <w:rFonts w:ascii="Open Sans" w:cs="Open Sans" w:eastAsia="Open Sans" w:hAnsi="Open Sans"/>
          <w:b w:val="false"/>
          <w:bCs w:val="false"/>
          <w:i w:val="false"/>
          <w:iCs w:val="false"/>
          <w:color w:val="59595B"/>
          <w:sz w:val="22"/>
          <w:szCs w:val="22"/>
        </w:rPr>
        <w:t xml:space="preserve">The product, the parent-company scale, and the certifications are competitive. The growth gap is somewhere else. Premium-rice procurement in 2026 is governed by three forces a thirteen-person US team cannot keep up with by hand: a documentation tax that runs into hundreds of buyer-requested artifacts per active account per year — FSVP, HARPC, organic chain of custody, lot COAs, kosher and halal letters, sustainability scorecards, per-SKU technical responses; a tariff environment that swung from 10 percent to 50 percent to a settled 18 percent on Indian basmati inside one year and remains politically live; and a multi-origin compliance surface across India, Thailand, and US-domestic supply that the FDA Food Traceability Rule will codify in 2028 but that the major retailers are already requiring in supplier agreements today. The competitors at scale — LT Foods, KRBL, Riviana, Tilda, Olam — are larger but uniformly behind on AI-enabled buyer-experience, AI-search visibility, and category thought leadership on exactly that triangle.</w:t>
      </w:r>
    </w:p>
    <w:p>
      <w:pPr>
        <w:spacing w:after="140" w:before="0" w:line="320"/>
        <w:jc w:val="both"/>
      </w:pPr>
      <w:r>
        <w:rPr>
          <w:rFonts w:ascii="Open Sans" w:cs="Open Sans" w:eastAsia="Open Sans" w:hAnsi="Open Sans"/>
          <w:b w:val="false"/>
          <w:bCs w:val="false"/>
          <w:i w:val="false"/>
          <w:iCs w:val="false"/>
          <w:color w:val="59595B"/>
          <w:sz w:val="22"/>
          <w:szCs w:val="22"/>
        </w:rPr>
        <w:t xml:space="preserve">This blueprint is a focused, account-based program built for how a B2B private-label and foodservice supplier actually wins: get cited and discovered (own AI-search citations for procurement queries and the under-covered tariff and FSMA conversation), win the buyer-documentation race (auto-draft RFP and RFI responses, index the certification library, run a multi-origin chain of custody, watch the tariff signal), and hold the account and expand (sales-pipeline knowledge memory, per-SKU automation, renewal intelligence, and a deliberate path to reuse the same engine for the Simply So consumer brand and the parent BIEL’s 54-country export markets). Every piece is designed inside the legal boundary that decides which AI is even safe to deploy in this category: AI auto-drafts, indexes, monitors, and remembers — but Technijian does not provide rent-style algorithmic pricing in any antitrust-sensitive way, and AI never replaces a GFSI or food-safety determination.</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The Core Opportunity</w:t>
            </w:r>
          </w:p>
          <w:p>
            <w:pPr>
              <w:keepNext/>
              <w:keepLines/>
              <w:spacing w:after="60" w:before="40" w:line="300"/>
            </w:pPr>
            <w:r>
              <w:rPr>
                <w:rFonts w:ascii="Open Sans" w:cs="Open Sans" w:eastAsia="Open Sans" w:hAnsi="Open Sans"/>
                <w:color w:val="59595B"/>
                <w:sz w:val="20"/>
                <w:szCs w:val="20"/>
              </w:rPr>
              <w:t xml:space="preserve">Algro has the supply (Bharat Industrial’s 57-year mill), the certifications (USDA NOP organic since 2020, parent BRC / ISO 22000 / HACCP), and the existing Technijian managed-services and cybersecurity relationship. What it does not yet have is the AI-driven buyer-experience layer that decides who responds to the next big RFP in days instead of weeks.</w:t>
            </w:r>
          </w:p>
          <w:p>
            <w:pPr>
              <w:keepNext/>
              <w:keepLines/>
              <w:spacing w:after="60" w:before="40" w:line="300"/>
            </w:pPr>
            <w:r>
              <w:rPr>
                <w:rFonts w:ascii="Open Sans" w:cs="Open Sans" w:eastAsia="Open Sans" w:hAnsi="Open Sans"/>
                <w:color w:val="59595B"/>
                <w:sz w:val="20"/>
                <w:szCs w:val="20"/>
              </w:rPr>
              <w:t xml:space="preserve">The 2025 US tariff swing, FSMA 204 readiness, and the multi-origin compliance triangle are real, defensible moats — and the category’s giants are uniformly behind on AI-buyer-experience and AI-search visibility. A thirteen-person Irvine team can deploy AI faster than a multi-billion-dollar competitor can re-platform.</w:t>
            </w:r>
          </w:p>
          <w:p>
            <w:pPr>
              <w:keepNext w:val="false"/>
              <w:keepLines/>
              <w:spacing w:after="60" w:before="40" w:line="300"/>
            </w:pPr>
            <w:r>
              <w:rPr>
                <w:rFonts w:ascii="Open Sans" w:cs="Open Sans" w:eastAsia="Open Sans" w:hAnsi="Open Sans"/>
                <w:color w:val="59595B"/>
                <w:sz w:val="20"/>
                <w:szCs w:val="20"/>
              </w:rPr>
              <w:t xml:space="preserve">The right entry is small, low-commitment, and pays back fast. The expansion build — the buyer-documentation engine, the traceability layer, the tariff signal monitor — comes second, once the entry proves the lift. The Simply So consumer brand and the BIEL export portfolio are reuses of the same engine, not a separate ask.</w:t>
            </w:r>
          </w:p>
        </w:tc>
      </w:tr>
    </w:tbl>
    <w:p>
      <w:pPr>
        <w:spacing w:after="140" w:before="60" w:line="320"/>
        <w:jc w:val="both"/>
      </w:pPr>
      <w:r>
        <w:rPr>
          <w:rFonts w:ascii="Open Sans" w:cs="Open Sans" w:eastAsia="Open Sans" w:hAnsi="Open Sans"/>
          <w:b w:val="false"/>
          <w:bCs w:val="false"/>
          <w:i/>
          <w:iCs/>
          <w:color w:val="59595B"/>
          <w:sz w:val="20"/>
          <w:szCs w:val="20"/>
        </w:rPr>
        <w:t xml:space="preserve">A note on figures: this blueprint was built from public information. Algro’s internal numbers — current named-account roster, average first-year value of a won account by persona, GFSI / kosher / halal status at the US facility, current sales engine, and tariff-exposure book — were not available for this draft. Every projection below is labeled estimated and conservative and calibrates to real numbers after a short discovery call. The specific questions are in Section 15.</w:t>
      </w:r>
    </w:p>
    <w:p>
      <w:pPr>
        <w:pStyle w:val="Heading1"/>
        <w:keepNext/>
        <w:pageBreakBefore/>
        <w:spacing w:after="120" w:before="0" w:line="240"/>
      </w:pPr>
      <w:r>
        <w:rPr>
          <w:rFonts w:ascii="Open Sans" w:cs="Open Sans" w:eastAsia="Open Sans" w:hAnsi="Open Sans"/>
          <w:color w:val="FFFFFF"/>
          <w:sz w:val="2"/>
          <w:szCs w:val="2"/>
        </w:rPr>
        <w:t xml:space="preserve">02  How a B2B Rice Importer Wins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02  How a B2B Rice Importer Wins</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Any growth plan for a premium-rice supplier starts with how the business actually earns. Revenue is not built on broad consumer marketing; it is built on a finite, named universe of buyers — retail private-label brand teams, industrial CPG procurement, foodservice operators and their broadline distributors, specialty and ethnic brand owners, and a handful of institutional channels. Every account moves through the same buying process: a procurement researcher discovers the supplier, a category buyer qualifies the fit, a quality team reviews the documentation, a sampling and audit cycle confirms the spec, an award is signed, and the account either renews or is re-bid. The diagram below shows the funnel, the demand that feeds it, and the points where AI removes friction.</w:t>
      </w:r>
    </w:p>
    <w:p>
      <w:pPr>
        <w:spacing w:after="0" w:before="160"/>
      </w:pPr>
      <w:r>
        <w:t xml:space="preserve"/>
      </w:r>
    </w:p>
    <w:p>
      <w:pPr>
        <w:spacing w:after="80" w:before="120"/>
        <w:jc w:val="center"/>
      </w:pPr>
      <w:r>
        <w:drawing>
          <wp:inline distT="0" distB="0" distL="0" distR="0">
            <wp:extent cx="5715000" cy="3429000"/>
            <wp:effectExtent t="0" r="0" b="0" l="0"/>
            <wp:docPr id="1" name="The B2B Named-Account Growth Engine" descr="The B2B Named-Account Growth Engine" title="The B2B Named-Account Growth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429000"/>
                    </a:xfrm>
                    <a:prstGeom prst="rect">
                      <a:avLst/>
                    </a:prstGeom>
                  </pic:spPr>
                </pic:pic>
              </a:graphicData>
            </a:graphic>
          </wp:inline>
        </w:drawing>
      </w:r>
    </w:p>
    <w:p>
      <w:pPr>
        <w:spacing w:after="240" w:before="0"/>
        <w:jc w:val="center"/>
      </w:pPr>
      <w:r>
        <w:rPr>
          <w:rFonts w:ascii="Open Sans" w:cs="Open Sans" w:eastAsia="Open Sans" w:hAnsi="Open Sans"/>
          <w:i/>
          <w:iCs/>
          <w:color w:val="59595B"/>
          <w:sz w:val="18"/>
          <w:szCs w:val="18"/>
        </w:rPr>
        <w:t xml:space="preserve">Figure 2.0 — The B2B named-account growth engine: how procurement discovers, qualifies, documents, awards, and renews</w:t>
      </w:r>
    </w:p>
    <w:p>
      <w:pPr>
        <w:spacing w:after="0" w:before="120"/>
      </w:pPr>
      <w:r>
        <w:t xml:space="preserve"/>
      </w:r>
    </w:p>
    <w:p>
      <w:pPr>
        <w:pStyle w:val="Heading2"/>
        <w:keepNext/>
        <w:keepLines/>
        <w:spacing w:after="120" w:before="280"/>
      </w:pPr>
      <w:r>
        <w:rPr>
          <w:rFonts w:ascii="Open Sans" w:cs="Open Sans" w:eastAsia="Open Sans" w:hAnsi="Open Sans"/>
          <w:b/>
          <w:bCs/>
          <w:color w:val="006DB6"/>
          <w:sz w:val="26"/>
          <w:szCs w:val="26"/>
        </w:rPr>
        <w:t xml:space="preserve">Discovery — How a Buyer Even Finds the Supplier</w:t>
      </w:r>
    </w:p>
    <w:p>
      <w:pPr>
        <w:spacing w:after="140" w:before="0" w:line="320"/>
        <w:jc w:val="both"/>
      </w:pPr>
      <w:r>
        <w:rPr>
          <w:rFonts w:ascii="Open Sans" w:cs="Open Sans" w:eastAsia="Open Sans" w:hAnsi="Open Sans"/>
          <w:b w:val="false"/>
          <w:bCs w:val="false"/>
          <w:i w:val="false"/>
          <w:iCs w:val="false"/>
          <w:color w:val="59595B"/>
          <w:sz w:val="22"/>
          <w:szCs w:val="22"/>
        </w:rPr>
        <w:t xml:space="preserve">In 2026 a procurement researcher at Costco, Sysco, or Conagra does not start with a Yellow Pages directory; they start with a search and, increasingly, with a question typed into ChatGPT, Perplexity, or Google’s AI overview. They ask things like “USDA NOP certified organic basmati private-label supplier in California” or “FSMA-204-ready rice importer with halal and kosher.” The supplier the AI cites — once — is on the shortlist; the supplier it does not is not. This is the first and least-recognized place where a small, modern operator out-competes a big, conservative one.</w:t>
      </w:r>
    </w:p>
    <w:p>
      <w:pPr>
        <w:pStyle w:val="Heading2"/>
        <w:keepNext/>
        <w:keepLines/>
        <w:spacing w:after="120" w:before="280"/>
      </w:pPr>
      <w:r>
        <w:rPr>
          <w:rFonts w:ascii="Open Sans" w:cs="Open Sans" w:eastAsia="Open Sans" w:hAnsi="Open Sans"/>
          <w:b/>
          <w:bCs/>
          <w:color w:val="006DB6"/>
          <w:sz w:val="26"/>
          <w:szCs w:val="26"/>
        </w:rPr>
        <w:t xml:space="preserve">The Award Is Won on Documentation Velocity</w:t>
      </w:r>
    </w:p>
    <w:p>
      <w:pPr>
        <w:spacing w:after="140" w:before="0" w:line="320"/>
        <w:jc w:val="both"/>
      </w:pPr>
      <w:r>
        <w:rPr>
          <w:rFonts w:ascii="Open Sans" w:cs="Open Sans" w:eastAsia="Open Sans" w:hAnsi="Open Sans"/>
          <w:b w:val="false"/>
          <w:bCs w:val="false"/>
          <w:i w:val="false"/>
          <w:iCs w:val="false"/>
          <w:color w:val="59595B"/>
          <w:sz w:val="22"/>
          <w:szCs w:val="22"/>
        </w:rPr>
        <w:t xml:space="preserve">Once a buyer raises a hand, the contest is administrative speed. A serious retailer or industrial RFP is a hundred-plus questions on capability, food safety, traceability, sustainability, packaging, and specification — answered against a thick library of FSVP plans, preventive-control plans, lot COAs, organic certificates, kosher and halal letters, allergen statements, and per-SKU technical responses. The supplier who returns a complete, in-format response in days, not weeks, wins more awards at the same win rate. That is not a soft claim; it is what the buyer is rewarding.</w:t>
      </w:r>
    </w:p>
    <w:p>
      <w:pPr>
        <w:pStyle w:val="Heading2"/>
        <w:keepNext/>
        <w:keepLines/>
        <w:spacing w:after="120" w:before="280"/>
      </w:pPr>
      <w:r>
        <w:rPr>
          <w:rFonts w:ascii="Open Sans" w:cs="Open Sans" w:eastAsia="Open Sans" w:hAnsi="Open Sans"/>
          <w:b/>
          <w:bCs/>
          <w:color w:val="006DB6"/>
          <w:sz w:val="26"/>
          <w:szCs w:val="26"/>
        </w:rPr>
        <w:t xml:space="preserve">The Cheapest Win Is the Renewal</w:t>
      </w:r>
    </w:p>
    <w:p>
      <w:pPr>
        <w:spacing w:after="140" w:before="0" w:line="320"/>
        <w:jc w:val="both"/>
      </w:pPr>
      <w:r>
        <w:rPr>
          <w:rFonts w:ascii="Open Sans" w:cs="Open Sans" w:eastAsia="Open Sans" w:hAnsi="Open Sans"/>
          <w:b w:val="false"/>
          <w:bCs w:val="false"/>
          <w:i w:val="false"/>
          <w:iCs w:val="false"/>
          <w:color w:val="59595B"/>
          <w:sz w:val="22"/>
          <w:szCs w:val="22"/>
        </w:rPr>
        <w:t xml:space="preserve">Winning a private-label or foodservice account costs a year of relationship work and an audit cycle; renewing one costs an in-spec record and a fair, timely conversation when the contract comes up. The biggest avoidable losses in this category are accounts that quietly slip when a competitor responds to a tariff swing or a buyer audit faster, not accounts that lose head-to-head on quality. Retention is the quiet half of the engine, and it is where account-renewal intelligence — watching volume drift, audit cycles, and price-hold expirations — pays back fastest.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One Engine, Three Motions</w:t>
            </w:r>
          </w:p>
          <w:p>
            <w:pPr>
              <w:keepNext/>
              <w:keepLines/>
              <w:spacing w:after="60" w:before="40" w:line="300"/>
            </w:pPr>
            <w:r>
              <w:rPr>
                <w:rFonts w:ascii="Open Sans" w:cs="Open Sans" w:eastAsia="Open Sans" w:hAnsi="Open Sans"/>
                <w:color w:val="59595B"/>
                <w:sz w:val="20"/>
                <w:szCs w:val="20"/>
              </w:rPr>
              <w:t xml:space="preserve">Get cited and discovered: be the supplier procurement finds first when it searches Google, Perplexity, or ChatGPT — and the one whose name is in the under-covered tariff, FSMA, and multi-origin compliance conversation.</w:t>
            </w:r>
          </w:p>
          <w:p>
            <w:pPr>
              <w:keepNext/>
              <w:keepLines/>
              <w:spacing w:after="60" w:before="40" w:line="300"/>
            </w:pPr>
            <w:r>
              <w:rPr>
                <w:rFonts w:ascii="Open Sans" w:cs="Open Sans" w:eastAsia="Open Sans" w:hAnsi="Open Sans"/>
                <w:color w:val="59595B"/>
                <w:sz w:val="20"/>
                <w:szCs w:val="20"/>
              </w:rPr>
              <w:t xml:space="preserve">Win the documentation race: auto-draft RFP and RFI responses in the buyer’s exact format from an indexed library of certifications, COAs, and prior responses, in minutes instead of weeks.</w:t>
            </w:r>
          </w:p>
          <w:p>
            <w:pPr>
              <w:keepNext w:val="false"/>
              <w:keepLines/>
              <w:spacing w:after="60" w:before="40" w:line="300"/>
            </w:pPr>
            <w:r>
              <w:rPr>
                <w:rFonts w:ascii="Open Sans" w:cs="Open Sans" w:eastAsia="Open Sans" w:hAnsi="Open Sans"/>
                <w:color w:val="59595B"/>
                <w:sz w:val="20"/>
                <w:szCs w:val="20"/>
              </w:rPr>
              <w:t xml:space="preserve">Hold and expand: keep a searchable memory of every buyer conversation, audit, and recipe iteration, watch renewal triggers proactively, and reuse the same engine for the Simply So consumer brand and the BIEL parent export markets.</w:t>
            </w:r>
          </w:p>
        </w:tc>
      </w:tr>
    </w:tbl>
    <w:p>
      <w:pPr>
        <w:pStyle w:val="Heading1"/>
        <w:keepNext/>
        <w:pageBreakBefore/>
        <w:spacing w:after="120" w:before="0" w:line="240"/>
      </w:pPr>
      <w:r>
        <w:rPr>
          <w:rFonts w:ascii="Open Sans" w:cs="Open Sans" w:eastAsia="Open Sans" w:hAnsi="Open Sans"/>
          <w:color w:val="FFFFFF"/>
          <w:sz w:val="2"/>
          <w:szCs w:val="2"/>
        </w:rPr>
        <w:t xml:space="preserve">03  The Compliance Boundary — FSMA, Tariffs, Multi-Origin &amp; the Pricing Line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EAAC8"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EAAC8"/>
                <w:sz w:val="34"/>
                <w:szCs w:val="34"/>
              </w:rPr>
              <w:t xml:space="preserve">03  The Compliance Boundary — FSMA, Tariffs, Multi-Origin &amp; the Pricing Line</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Premium-rice importing is one of the most regulated B2B categories there is, and AI raises the stakes in specific, nameable places. This section names them plainly, because the value of a Technijian-built program is not just that the AI is fast — it is that the AI is fast and safe. The boundary is simple to state: AI auto-drafts, indexes, monitors, and remembers; it never replaces a GFSI or food-safety determination, and it never makes pricing decisions in any antitrust-sensitive way.</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FDA FSMA Section 204 — The Food Traceability Rule</w:t>
      </w:r>
    </w:p>
    <w:p>
      <w:pPr>
        <w:spacing w:after="140" w:before="0" w:line="320"/>
        <w:jc w:val="both"/>
      </w:pPr>
      <w:r>
        <w:rPr>
          <w:rFonts w:ascii="Open Sans" w:cs="Open Sans" w:eastAsia="Open Sans" w:hAnsi="Open Sans"/>
          <w:b w:val="false"/>
          <w:bCs w:val="false"/>
          <w:i w:val="false"/>
          <w:iCs w:val="false"/>
          <w:color w:val="59595B"/>
          <w:sz w:val="22"/>
          <w:szCs w:val="22"/>
        </w:rPr>
        <w:t xml:space="preserve">The FDA Food Traceability Rule sits at the centre of where retail and foodservice buyer requirements are heading. The original compliance date was January 20, 2026; in August 2025 the FDA proposed a thirty-month extension and the November 2025 Continuing Appropriations Act directed the agency not to enforce the rule before July 20, 2028. The substance of the rule is unchanged. Even though enforcement now sits in 2028, the practical reality for a supplier is that the top retailers are already pre-flighting traceability readiness in supplier agreements today, because they intend to be ahead of the deadline. Buying into FSMA-204-ready supplier capability now is a procurement de-risking signal that beats competitors in head-to-head reviews. Note that rice itself is not currently on the FDA Food Traceability List; the IQF vegetables Algro carries may be, depending on classification — a discovery item, not a guess.</w:t>
      </w:r>
    </w:p>
    <w:p>
      <w:pPr>
        <w:spacing w:after="0" w:before="120"/>
      </w:pPr>
      <w:r>
        <w:t xml:space="preserve"/>
      </w:r>
    </w:p>
    <w:p>
      <w:pPr>
        <w:pStyle w:val="Heading2"/>
        <w:keepNext/>
        <w:keepLines/>
        <w:spacing w:after="120" w:before="280"/>
      </w:pPr>
      <w:r>
        <w:rPr>
          <w:rFonts w:ascii="Open Sans" w:cs="Open Sans" w:eastAsia="Open Sans" w:hAnsi="Open Sans"/>
          <w:b/>
          <w:bCs/>
          <w:color w:val="006DB6"/>
          <w:sz w:val="26"/>
          <w:szCs w:val="26"/>
        </w:rPr>
        <w:t xml:space="preserve">US Import Tariffs — The 2025–2026 Swing Is Real</w:t>
      </w:r>
    </w:p>
    <w:p>
      <w:pPr>
        <w:spacing w:after="140" w:before="0" w:line="320"/>
        <w:jc w:val="both"/>
      </w:pPr>
      <w:r>
        <w:rPr>
          <w:rFonts w:ascii="Open Sans" w:cs="Open Sans" w:eastAsia="Open Sans" w:hAnsi="Open Sans"/>
          <w:b w:val="false"/>
          <w:bCs w:val="false"/>
          <w:i w:val="false"/>
          <w:iCs w:val="false"/>
          <w:color w:val="59595B"/>
          <w:sz w:val="22"/>
          <w:szCs w:val="22"/>
        </w:rPr>
        <w:t xml:space="preserve">In 2025 the US tariff on Indian basmati rice escalated from 10 percent to 50 percent before settling at 18 percent in early 2026 after the India–US trade deal — a movement reported by the Indian Rice Exporters Federation and confirmed in trade press. That sits alongside Thai tariffs around 19 percent and Pakistani tariffs near 19 percent. From April through November 2025 alone, Indian basmati exports to the United States ran roughly 199,558 tonnes worth approximately 1,749 crore rupees. The translation for a US-based importer is straightforward: cost of goods on the most important product category moved by hundreds of basis points inside one year, with more political risk on the calendar. AI that watches tariff signals — USITC postings, India and Thailand commerce-ministry filings, freight indices, and FX — and proactively reformulates buyer cost models and origin-mix proposals is a defensible capability AND a reason to call procurement directors right now.</w:t>
      </w:r>
    </w:p>
    <w:p>
      <w:pPr>
        <w:spacing w:after="0" w:before="120"/>
      </w:pPr>
      <w:r>
        <w:t xml:space="preserve"/>
      </w:r>
    </w:p>
    <w:p>
      <w:pPr>
        <w:pStyle w:val="Heading2"/>
        <w:keepNext/>
        <w:keepLines/>
        <w:spacing w:after="120" w:before="280"/>
      </w:pPr>
      <w:r>
        <w:rPr>
          <w:rFonts w:ascii="Open Sans" w:cs="Open Sans" w:eastAsia="Open Sans" w:hAnsi="Open Sans"/>
          <w:b/>
          <w:bCs/>
          <w:color w:val="006DB6"/>
          <w:sz w:val="26"/>
          <w:szCs w:val="26"/>
        </w:rPr>
        <w:t xml:space="preserve">Multi-Origin Compliance &amp; Chain of Custody</w:t>
      </w:r>
    </w:p>
    <w:p>
      <w:pPr>
        <w:spacing w:after="140" w:before="0" w:line="320"/>
        <w:jc w:val="both"/>
      </w:pPr>
      <w:r>
        <w:rPr>
          <w:rFonts w:ascii="Open Sans" w:cs="Open Sans" w:eastAsia="Open Sans" w:hAnsi="Open Sans"/>
          <w:b w:val="false"/>
          <w:bCs w:val="false"/>
          <w:i w:val="false"/>
          <w:iCs w:val="false"/>
          <w:color w:val="59595B"/>
          <w:sz w:val="22"/>
          <w:szCs w:val="22"/>
        </w:rPr>
        <w:t xml:space="preserve">Algro sources Indian basmati through Bharat Industrial, Thai jasmine and specialty varieties (Hom Mali, Pathum Thani, Red Cargo), and US and Canadian organic supply via the CCOF NOP processor-handler certificate held in Irvine since April 2020 (extended for US/Canada Equivalence in July 2023). Each origin carries its own audit cycle, residue testing, segregation requirement, and certificate body. The Foreign Supplier Verification Program (FSVP) applies because the importer of record sits in the United States, and HARPC preventive controls apply at the Irvine and Jersey City handling facilities. Every retail and industrial buyer audits these. A digital chain of custody — input certificate to lot to product to buyer COA, kept current automatically across origins — reduces the audit surface for every account at the same time.</w:t>
      </w:r>
    </w:p>
    <w:p>
      <w:pPr>
        <w:spacing w:after="0" w:before="120"/>
      </w:pPr>
      <w:r>
        <w:t xml:space="preserve"/>
      </w:r>
    </w:p>
    <w:p>
      <w:pPr>
        <w:pStyle w:val="Heading2"/>
        <w:keepNext/>
        <w:keepLines/>
        <w:spacing w:after="120" w:before="280"/>
      </w:pPr>
      <w:r>
        <w:rPr>
          <w:rFonts w:ascii="Open Sans" w:cs="Open Sans" w:eastAsia="Open Sans" w:hAnsi="Open Sans"/>
          <w:b/>
          <w:bCs/>
          <w:color w:val="006DB6"/>
          <w:sz w:val="26"/>
          <w:szCs w:val="26"/>
        </w:rPr>
        <w:t xml:space="preserve">The Pricing Line — What This Program Will Not Touch</w:t>
      </w:r>
    </w:p>
    <w:p>
      <w:pPr>
        <w:spacing w:after="140" w:before="0" w:line="320"/>
        <w:jc w:val="both"/>
      </w:pPr>
      <w:r>
        <w:rPr>
          <w:rFonts w:ascii="Open Sans" w:cs="Open Sans" w:eastAsia="Open Sans" w:hAnsi="Open Sans"/>
          <w:b w:val="false"/>
          <w:bCs w:val="false"/>
          <w:i w:val="false"/>
          <w:iCs w:val="false"/>
          <w:color w:val="59595B"/>
          <w:sz w:val="22"/>
          <w:szCs w:val="22"/>
        </w:rPr>
        <w:t xml:space="preserve">There is one category of B2B-supply AI that this program explicitly avoids: algorithmic pricing in any antitrust-sensitive arrangement that shares non-public data across competitors or aligns prices among multiple suppliers. The recent US Department of Justice action against RealPage in multifamily — Sherman Act counts, a co-plaintiff California, a 2025 proposed settlement, and a wave of state and municipal bans — is the doctrine landmark, and a thoughtful operator imports the principle into the food category whether the case law has fully caught up or not. Pricing decisions stay with Algro and its buyers. AI may inform cost models with public tariff and freight data; it does not feed a multi-supplier pricing engine and it does not match prices across competitors.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A1A2E"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A1A2E"/>
                <w:sz w:val="22"/>
                <w:szCs w:val="22"/>
              </w:rPr>
              <w:t xml:space="preserve">The Boundary — AI Serves, A Person Decides</w:t>
            </w:r>
          </w:p>
          <w:p>
            <w:pPr>
              <w:keepNext/>
              <w:keepLines/>
              <w:spacing w:after="60" w:before="40" w:line="300"/>
            </w:pPr>
            <w:r>
              <w:rPr>
                <w:rFonts w:ascii="Open Sans" w:cs="Open Sans" w:eastAsia="Open Sans" w:hAnsi="Open Sans"/>
                <w:color w:val="59595B"/>
                <w:sz w:val="20"/>
                <w:szCs w:val="20"/>
              </w:rPr>
              <w:t xml:space="preserve">AI auto-drafts the RFP response, indexes the FSVP and COA library, watches the tariff signal, and remembers every buyer conversation — uniformly, with sources cited, and inside the documentation rules each buyer audit applies.</w:t>
            </w:r>
          </w:p>
          <w:p>
            <w:pPr>
              <w:keepNext/>
              <w:keepLines/>
              <w:spacing w:after="60" w:before="40" w:line="300"/>
            </w:pPr>
            <w:r>
              <w:rPr>
                <w:rFonts w:ascii="Open Sans" w:cs="Open Sans" w:eastAsia="Open Sans" w:hAnsi="Open Sans"/>
                <w:color w:val="59595B"/>
                <w:sz w:val="20"/>
                <w:szCs w:val="20"/>
              </w:rPr>
              <w:t xml:space="preserve">AI never makes the GFSI / food-safety determination, never approves a lot release, and never sets pricing in an antitrust-sensitive way. A person owns the safety decision, the lot release, and the pricing — outside the regulatory and antitrust risk entirely.</w:t>
            </w:r>
          </w:p>
          <w:p>
            <w:pPr>
              <w:keepNext w:val="false"/>
              <w:keepLines/>
              <w:spacing w:after="60" w:before="40" w:line="300"/>
            </w:pPr>
            <w:r>
              <w:rPr>
                <w:rFonts w:ascii="Open Sans" w:cs="Open Sans" w:eastAsia="Open Sans" w:hAnsi="Open Sans"/>
                <w:color w:val="59595B"/>
                <w:sz w:val="20"/>
                <w:szCs w:val="20"/>
              </w:rPr>
              <w:t xml:space="preserve">That boundary is the point: Algro gets enterprise-grade documentation velocity without putting its name on a decision it did not make or a price an algorithm set.</w:t>
            </w:r>
          </w:p>
        </w:tc>
      </w:tr>
    </w:tbl>
    <w:p>
      <w:pPr>
        <w:pStyle w:val="Heading1"/>
        <w:keepNext/>
        <w:pageBreakBefore/>
        <w:spacing w:after="120" w:before="0" w:line="240"/>
      </w:pPr>
      <w:r>
        <w:rPr>
          <w:rFonts w:ascii="Open Sans" w:cs="Open Sans" w:eastAsia="Open Sans" w:hAnsi="Open Sans"/>
          <w:color w:val="FFFFFF"/>
          <w:sz w:val="2"/>
          <w:szCs w:val="2"/>
        </w:rPr>
        <w:t xml:space="preserve">04  Where the Growth Lives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EAAC8"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EAAC8"/>
                <w:sz w:val="34"/>
                <w:szCs w:val="34"/>
              </w:rPr>
              <w:t xml:space="preserve">04  Where the Growth Lives</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Because Algro sells to a finite, named universe of buyers — not a broad consumer market — this is an account-based program: the job is to be discovered by, respond faster to, and retain a known set of accounts across four channels. The growth comes from four pools, and the same AI engine serves all four. The point of AI is to be cited first, to respond completely in days instead of weeks, and to keep a searchable memory of every relationship the small US team has earned.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3182"/>
        <w:gridCol w:w="3745"/>
      </w:tblGrid>
      <w:tr>
        <w:trPr>
          <w:cantSplit/>
          <w:tblHeader/>
        </w:trPr>
        <w:tc>
          <w:tcPr>
            <w:tcW w:type="dxa" w:w="2433"/>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Growth Pool</w:t>
            </w:r>
          </w:p>
        </w:tc>
        <w:tc>
          <w:tcPr>
            <w:tcW w:type="dxa" w:w="318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The Named Universe</w:t>
            </w:r>
          </w:p>
        </w:tc>
        <w:tc>
          <w:tcPr>
            <w:tcW w:type="dxa" w:w="3745"/>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How Algro Captures It</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Retail private-label awards</w:t>
            </w:r>
          </w:p>
        </w:tc>
        <w:tc>
          <w:tcPr>
            <w:tcW w:type="dxa" w:w="318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Costco (Kirkland), Walmart (Great Value), Kroger (Simple Truth / Private Selection), Target (Good &amp; Gather), Whole Foods (365), Sprouts, Trader Joe’s, Aldi, Wegmans</w:t>
            </w:r>
          </w:p>
        </w:tc>
        <w:tc>
          <w:tcPr>
            <w:tcW w:type="dxa" w:w="374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AI-cited authority on organic and specialty rice queries; auto-drafted RFP responses in the buyer’s exact format; FSMA-204 readiness as a de-risking signal</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Industrial / CPG procurement</w:t>
            </w:r>
          </w:p>
        </w:tc>
        <w:tc>
          <w:tcPr>
            <w:tcW w:type="dxa" w:w="318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Conagra, Nestlé, Kraft Heinz, General Mills, Amy’s Kitchen, Saffron Road, Tattooed Chef, Maya Kaimal, regional frozen-meal co-packers</w:t>
            </w:r>
          </w:p>
        </w:tc>
        <w:tc>
          <w:tcPr>
            <w:tcW w:type="dxa" w:w="374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Per-SKU spec automation, lot-level COA delivery, capacity-flex documentation, recipe-development partnership through the sales memory engine</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Foodservice &amp; distribution</w:t>
            </w:r>
          </w:p>
        </w:tc>
        <w:tc>
          <w:tcPr>
            <w:tcW w:type="dxa" w:w="318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Sysco, US Foods, Performance Food Group, UNFI, KeHE, restaurant chains (Chipotle, Cava, Sweetgreen, Halal Guys, Cheesecake Factory, Texas Roadhouse, Panera, P.F. Chang’s)</w:t>
            </w:r>
          </w:p>
        </w:tc>
        <w:tc>
          <w:tcPr>
            <w:tcW w:type="dxa" w:w="374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GS1 / GDSN spec-sheet automation, tariff-resilient price-hold proposals, same-day technical response, fast hold and recall coordination</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Specialty / ethnic / mission-driven</w:t>
            </w:r>
          </w:p>
        </w:tc>
        <w:tc>
          <w:tcPr>
            <w:tcW w:type="dxa" w:w="318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Saffron Road, Maya Kaimal, Tasty Bite, Stonefire, Kitchens of India, growing CPG and restaurant brands that need organic, halal, kosher, Indian and Thai together</w:t>
            </w:r>
          </w:p>
        </w:tc>
        <w:tc>
          <w:tcPr>
            <w:tcW w:type="dxa" w:w="374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right-sized partnership: minimum-order flexibility, recipe iteration, brand-storytelling support — accelerated by the sales memory</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Account-Based by Design — Discover, Document, Hold</w:t>
            </w:r>
          </w:p>
          <w:p>
            <w:pPr>
              <w:keepNext/>
              <w:keepLines/>
              <w:spacing w:after="60" w:before="40" w:line="300"/>
            </w:pPr>
            <w:r>
              <w:rPr>
                <w:rFonts w:ascii="Open Sans" w:cs="Open Sans" w:eastAsia="Open Sans" w:hAnsi="Open Sans"/>
                <w:color w:val="59595B"/>
                <w:sz w:val="20"/>
                <w:szCs w:val="20"/>
              </w:rPr>
              <w:t xml:space="preserve">Unlike a consumer-facing supplier, Algro lives on a named universe of buyers. The work is depth and speed inside each account, not shotgun marketing — and the AI is sized for that motion, not for a broad funnel.</w:t>
            </w:r>
          </w:p>
          <w:p>
            <w:pPr>
              <w:keepNext/>
              <w:keepLines/>
              <w:spacing w:after="60" w:before="40" w:line="300"/>
            </w:pPr>
            <w:r>
              <w:rPr>
                <w:rFonts w:ascii="Open Sans" w:cs="Open Sans" w:eastAsia="Open Sans" w:hAnsi="Open Sans"/>
                <w:color w:val="59595B"/>
                <w:sz w:val="20"/>
                <w:szCs w:val="20"/>
              </w:rPr>
              <w:t xml:space="preserve">The highest-return pool is also the one most easily under-served: the buyer who already audited Algro last year and has an upcoming re-bid. Account-renewal intelligence — watching volume drift, audit cycles, and competitor signals — protects revenue the small US team would otherwise lose to faster responders.</w:t>
            </w:r>
          </w:p>
          <w:p>
            <w:pPr>
              <w:keepNext w:val="false"/>
              <w:keepLines/>
              <w:spacing w:after="60" w:before="40" w:line="300"/>
            </w:pPr>
            <w:r>
              <w:rPr>
                <w:rFonts w:ascii="Open Sans" w:cs="Open Sans" w:eastAsia="Open Sans" w:hAnsi="Open Sans"/>
                <w:color w:val="59595B"/>
                <w:sz w:val="20"/>
                <w:szCs w:val="20"/>
              </w:rPr>
              <w:t xml:space="preserve">Every motion here is measurable — AI-citation rate on procurement queries, RFP response time, win rate by channel, certification-pack completeness, and renewal rate — so the program is tuned to what actually moves the order book.</w:t>
            </w:r>
          </w:p>
        </w:tc>
      </w:tr>
    </w:tbl>
    <w:p>
      <w:pPr>
        <w:pStyle w:val="Heading1"/>
        <w:keepNext/>
        <w:pageBreakBefore/>
        <w:spacing w:after="120" w:before="0" w:line="240"/>
      </w:pPr>
      <w:r>
        <w:rPr>
          <w:rFonts w:ascii="Open Sans" w:cs="Open Sans" w:eastAsia="Open Sans" w:hAnsi="Open Sans"/>
          <w:color w:val="FFFFFF"/>
          <w:sz w:val="2"/>
          <w:szCs w:val="2"/>
        </w:rPr>
        <w:t xml:space="preserve">05  The Algro Buyer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67D4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F67D4B"/>
                <w:sz w:val="34"/>
                <w:szCs w:val="34"/>
              </w:rPr>
              <w:t xml:space="preserve">05  The Algro Buyer</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Five buyer types account for nearly all of the company’s award and renewal activity. They differ in how they discover suppliers, how fast they move through procurement, and what keeps them — but they share one trait that defines the strategy: each is reached and kept through documentation velocity, AI-search visibility, and sales memory rather than broad consumer marketing. The cards below profile each buyer, and Figure 5.0 places them by account volume and lifetime value.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gridSpan w:val="2"/>
            <w:tcBorders>
              <w:top w:val="none" w:color="FFFFFF" w:sz="0"/>
              <w:left w:val="none" w:color="FFFFFF" w:sz="0"/>
              <w:bottom w:val="none" w:color="FFFFFF" w:sz="0"/>
              <w:right w:val="none" w:color="FFFFFF" w:sz="0"/>
            </w:tcBorders>
            <w:shd w:fill="006DB6"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1 — The Retail Private-Label Brand Manager</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Profile</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Owns one or more rice or grain SKUs in a chain private-label line on a 12 to 24-month award cycle — Costco Kirkland, Walmart Great Value, Kroger Simple Truth, Target Good &amp; Gather, Whole Foods 365, Sprouts, Trader Joe’s, Aldi, Wegmans.</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Pain Points</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RFP cycle speed; FSMA readiness; kosher, halal, and organic chain of custody; packaging-design partnership; sustainability and Sedex / SMETA scorecard volume.</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Decision Driver</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A complete, in-format response in days, audit-ready documentation, and a supplier the buying team’s legal and quality reviewers do not have to chase.</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AI Opportunity</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AI RFP auto-drafting against the indexed FSVP / COA / certification library; FSMA-204 readiness narrative; AI-cited authority on organic and specialty queries.</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My Dev — the buyer-documentation engine. My SEO — AI-search authority. My AI Lead Gen — named-account intelligence.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gridSpan w:val="2"/>
            <w:tcBorders>
              <w:top w:val="none" w:color="FFFFFF" w:sz="0"/>
              <w:left w:val="none" w:color="FFFFFF" w:sz="0"/>
              <w:bottom w:val="none" w:color="FFFFFF" w:sz="0"/>
              <w:right w:val="none" w:color="FFFFFF" w:sz="0"/>
            </w:tcBorders>
            <w:shd w:fill="F67D4B"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2 — The Industrial / CPG Procurement Buyer</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Profile</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Buys rice as an ingredient into a downstream branded SKU — Conagra, Nestlé, Kraft Heinz, General Mills, Amy’s Kitchen, Saffron Road, Tattooed Chef, Maya Kaimal, regional frozen-meal co-packers.</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Pain Points</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Spec consistency by lot, on-time delivery to a manufacturing schedule, capacity flex on seasonal launches, recipe-development collaboration, tariff-driven cost shifts on imported ingredients.</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Decision Driver</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Lot-level COA delivery, tight ingredient spec, capacity reliability, and a supplier who can sit in a development room and iterate on a recipe.</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AI Opportunity</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Per-SKU spec automation; lot-level COA generation; the tariff signal monitor that protects ingredient cost; sales-pipeline memory across development conversations.</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My Dev — per-SKU automation. My AI — the tariff signal and the sales memory.</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gridSpan w:val="2"/>
            <w:tcBorders>
              <w:top w:val="none" w:color="FFFFFF" w:sz="0"/>
              <w:left w:val="none" w:color="FFFFFF" w:sz="0"/>
              <w:bottom w:val="none" w:color="FFFFFF" w:sz="0"/>
              <w:right w:val="none" w:color="FFFFFF" w:sz="0"/>
            </w:tcBorders>
            <w:shd w:fill="1EAAC8"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3 — The Foodservice / Distributor Category Buyer</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Profile</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On the distribution side: Sysco, US Foods, Performance Food Group, UNFI, KeHE. On the operator side: Chipotle, Cava, Sweetgreen, Halal Guys, Cheesecake Factory, Texas Roadhouse, Olive Garden, Yum, Panera, P.F. Chang’s.</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Pain Points</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Per-SKU spec sheets in GS1 / GDSN format; price-hold reliability through tariff swings; fast hold and recall coordination; a single point of contact who answers same-day.</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Decision Driver</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Operational responsiveness, standardized documentation, and the ability to absorb a category buyer’s spec change without missing a delivery window.</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AI Opportunity</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GS1 / GDSN spec automation; the tariff-resilient price-hold proposal engine; a 24/7 conversational layer for buyer questions on capability, MOQ, lead time.</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My Dev — the conversational layer and spec automation. My AI — the tariff and signal engine.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gridSpan w:val="2"/>
            <w:tcBorders>
              <w:top w:val="none" w:color="FFFFFF" w:sz="0"/>
              <w:left w:val="none" w:color="FFFFFF" w:sz="0"/>
              <w:bottom w:val="none" w:color="FFFFFF" w:sz="0"/>
              <w:right w:val="none" w:color="FFFFFF" w:sz="0"/>
            </w:tcBorders>
            <w:shd w:fill="C9922A"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4 — The Specialty / Ethnic / Mission-Driven Brand Owner</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Profile</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A growing CPG or restaurant brand that needs organic + halal + kosher + Indian + Thai together, with a willingness to co-develop — Saffron Road, Maya Kaimal, Tasty Bite, Stonefire, Kitchens of India, and the up-and-comers.</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Pain Points</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Finding a co-pack partner who can do the multi-origin, multi-cert build with minimum-order flexibility and a real interest in recipe iteration and brand storytelling.</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Decision Driver</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Cultural fit, recipe-development collaboration, and a partner who will help build the brand rather than fulfill a commodity SKU.</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AI Opportunity</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Category authority content that draws these brands in; the conversational layer that answers capability questions instantly; sales-pipeline memory that turns every prior conversation into a productive next one.</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My SEO — category authority. My Dev — the conversational and memory layer.</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gridSpan w:val="2"/>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5 — The Institutional / Channel Buyer (Emerging)</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Profile</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K-12 nutrition contractors, federal commodities, military commissaries, healthcare and corrections contract foodservice (Sodexo, Aramark, Compass). Confirm in discovery whether currently in scope.</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Pain Points</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USDA and Buy-American compliance documentation, multi-year contract paperwork volume, audit posture, transparent traceability of origin.</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Decision Driver</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Paperwork completeness and a multi-year reliability record; AI is a documentation aid, not a sales channel.</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AI Opportunity</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The documentation engine again; multi-year contract intelligence; FSMA-204-ready traceability narrative.</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My Dev — the documentation engine.</w:t>
            </w:r>
          </w:p>
        </w:tc>
      </w:tr>
    </w:tbl>
    <w:p>
      <w:pPr>
        <w:spacing w:after="0" w:before="200"/>
      </w:pPr>
      <w:r>
        <w:t xml:space="preserve"/>
      </w:r>
    </w:p>
    <w:p>
      <w:pPr>
        <w:spacing w:after="140" w:before="0" w:line="320"/>
        <w:jc w:val="both"/>
      </w:pPr>
      <w:r>
        <w:rPr>
          <w:rFonts w:ascii="Open Sans" w:cs="Open Sans" w:eastAsia="Open Sans" w:hAnsi="Open Sans"/>
          <w:b w:val="false"/>
          <w:bCs w:val="false"/>
          <w:i/>
          <w:iCs/>
          <w:color w:val="59595B"/>
          <w:sz w:val="22"/>
          <w:szCs w:val="22"/>
        </w:rPr>
        <w:t xml:space="preserve">Figure 5.0 maps each buyer by account volume and account lifetime value — showing why the retail private-label award is the highest-LTV target, why industrial CPG is the highest-velocity opportunity, and why foodservice is the volume-driven cash flow that makes the entire program self-sustaining.</w:t>
      </w:r>
    </w:p>
    <w:p>
      <w:pPr>
        <w:spacing w:after="0" w:before="60"/>
      </w:pPr>
      <w:r>
        <w:t xml:space="preserve"/>
      </w:r>
    </w:p>
    <w:p>
      <w:pPr>
        <w:spacing w:after="80" w:before="120"/>
        <w:jc w:val="center"/>
      </w:pPr>
      <w:r>
        <w:drawing>
          <wp:inline distT="0" distB="0" distL="0" distR="0">
            <wp:extent cx="5334000" cy="3552825"/>
            <wp:effectExtent t="0" r="0" b="0" l="0"/>
            <wp:docPr id="1" name="The Algro Buyer Matrix" descr="The Algro Buyer Matrix" title="The Algro Buyer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552825"/>
                    </a:xfrm>
                    <a:prstGeom prst="rect">
                      <a:avLst/>
                    </a:prstGeom>
                  </pic:spPr>
                </pic:pic>
              </a:graphicData>
            </a:graphic>
          </wp:inline>
        </w:drawing>
      </w:r>
    </w:p>
    <w:p>
      <w:pPr>
        <w:spacing w:after="240" w:before="0"/>
        <w:jc w:val="center"/>
      </w:pPr>
      <w:r>
        <w:rPr>
          <w:rFonts w:ascii="Open Sans" w:cs="Open Sans" w:eastAsia="Open Sans" w:hAnsi="Open Sans"/>
          <w:i/>
          <w:iCs/>
          <w:color w:val="59595B"/>
          <w:sz w:val="18"/>
          <w:szCs w:val="18"/>
        </w:rPr>
        <w:t xml:space="preserve">Figure 5.0 — The Algro Buyer: Account Volume vs. Account Lifetime Value</w:t>
      </w:r>
    </w:p>
    <w:p>
      <w:pPr>
        <w:pStyle w:val="Heading1"/>
        <w:keepNext/>
        <w:pageBreakBefore/>
        <w:spacing w:after="120" w:before="0" w:line="240"/>
      </w:pPr>
      <w:r>
        <w:rPr>
          <w:rFonts w:ascii="Open Sans" w:cs="Open Sans" w:eastAsia="Open Sans" w:hAnsi="Open Sans"/>
          <w:color w:val="FFFFFF"/>
          <w:sz w:val="2"/>
          <w:szCs w:val="2"/>
        </w:rPr>
        <w:t xml:space="preserve">06  Competitive Landscape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06  Competitive Landscape</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Algro competes for the same retail private-label, foodservice, and industrial-CPG awards against a defined set of operators: the publicly-listed giants — LT Foods (Daawat and Royal Basmati), KRBL (India Gate), Olam Agri, Riviana Foods (Ebro Foods, including Mahatma, Carolina, Success, and Minute Rice), Tilda (also Ebro), Kohinoor — and a tier of mid-market premium-basmati names — Amira Nature Foods, Authentic Royal / Authentic Foods Group, Shri Lal Mahal, Chaman Lal Setia, Veer Overseas. The pattern across all of them is the same opportunity: the operators that out-compete Algro at scale uniformly do it on scale and brand strength, not on AI-enabled buyer experience. The product, the certifications, and the parent-company milling base are competitive; what is not is the AI-search visibility and the buyer-documentation velocity that decide which supplier responds first to the next big RFP.</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35"/>
        <w:gridCol w:w="2535"/>
        <w:gridCol w:w="975"/>
        <w:gridCol w:w="3315"/>
      </w:tblGrid>
      <w:tr>
        <w:trPr>
          <w:cantSplit/>
          <w:tblHeader/>
        </w:trPr>
        <w:tc>
          <w:tcPr>
            <w:tcW w:type="dxa" w:w="2535"/>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Competitor</w:t>
            </w:r>
          </w:p>
        </w:tc>
        <w:tc>
          <w:tcPr>
            <w:tcW w:type="dxa" w:w="2535"/>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Position</w:t>
            </w:r>
          </w:p>
        </w:tc>
        <w:tc>
          <w:tcPr>
            <w:tcW w:type="dxa" w:w="975"/>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Scale</w:t>
            </w:r>
          </w:p>
        </w:tc>
        <w:tc>
          <w:tcPr>
            <w:tcW w:type="dxa" w:w="3315"/>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AI / Buyer-Experience Posture</w:t>
            </w:r>
          </w:p>
        </w:tc>
      </w:tr>
      <w:tr>
        <w:trPr>
          <w:cantSplit/>
        </w:trPr>
        <w:tc>
          <w:tcPr>
            <w:tcW w:type="dxa" w:w="253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LT Foods (Daawat / Royal)</w:t>
            </w:r>
          </w:p>
        </w:tc>
        <w:tc>
          <w:tcPr>
            <w:tcW w:type="dxa" w:w="253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NSE-listed parent of Royal Basmati and Daawat; a category leader in US private-label basmati</w:t>
            </w:r>
          </w:p>
        </w:tc>
        <w:tc>
          <w:tcPr>
            <w:tcW w:type="dxa" w:w="97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High</w:t>
            </w:r>
          </w:p>
        </w:tc>
        <w:tc>
          <w:tcPr>
            <w:tcW w:type="dxa" w:w="331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Modern retail-brand sites and category leadership; not yet visibly AI-buyer-experience</w:t>
            </w:r>
          </w:p>
        </w:tc>
      </w:tr>
      <w:tr>
        <w:trPr>
          <w:cantSplit/>
        </w:trPr>
        <w:tc>
          <w:tcPr>
            <w:tcW w:type="dxa" w:w="253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KRBL (India Gate)</w:t>
            </w:r>
          </w:p>
        </w:tc>
        <w:tc>
          <w:tcPr>
            <w:tcW w:type="dxa" w:w="253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World’s largest basmati miller with the India Gate retail brand</w:t>
            </w:r>
          </w:p>
        </w:tc>
        <w:tc>
          <w:tcPr>
            <w:tcW w:type="dxa" w:w="97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High</w:t>
            </w:r>
          </w:p>
        </w:tc>
        <w:tc>
          <w:tcPr>
            <w:tcW w:type="dxa" w:w="331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Brand-strong but a traditional B2B sales motion</w:t>
            </w:r>
          </w:p>
        </w:tc>
      </w:tr>
      <w:tr>
        <w:trPr>
          <w:cantSplit/>
        </w:trPr>
        <w:tc>
          <w:tcPr>
            <w:tcW w:type="dxa" w:w="253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Olam Agri</w:t>
            </w:r>
          </w:p>
        </w:tc>
        <w:tc>
          <w:tcPr>
            <w:tcW w:type="dxa" w:w="253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Multinational agri-commodity supplier with sophisticated supply-chain technology</w:t>
            </w:r>
          </w:p>
        </w:tc>
        <w:tc>
          <w:tcPr>
            <w:tcW w:type="dxa" w:w="97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High</w:t>
            </w:r>
          </w:p>
        </w:tc>
        <w:tc>
          <w:tcPr>
            <w:tcW w:type="dxa" w:w="331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Most data-led of the cohort; enterprise-priced and slow to re-platform on AI-buyer-experience</w:t>
            </w:r>
          </w:p>
        </w:tc>
      </w:tr>
      <w:tr>
        <w:trPr>
          <w:cantSplit/>
        </w:trPr>
        <w:tc>
          <w:tcPr>
            <w:tcW w:type="dxa" w:w="253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Riviana Foods (Ebro)</w:t>
            </w:r>
          </w:p>
        </w:tc>
        <w:tc>
          <w:tcPr>
            <w:tcW w:type="dxa" w:w="253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US-domestic category dominator (Mahatma, Carolina, Success, Minute) plus private-label</w:t>
            </w:r>
          </w:p>
        </w:tc>
        <w:tc>
          <w:tcPr>
            <w:tcW w:type="dxa" w:w="97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High</w:t>
            </w:r>
          </w:p>
        </w:tc>
        <w:tc>
          <w:tcPr>
            <w:tcW w:type="dxa" w:w="331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Retail-brand strong; B2B digital posture mid-tier</w:t>
            </w:r>
          </w:p>
        </w:tc>
      </w:tr>
      <w:tr>
        <w:trPr>
          <w:cantSplit/>
        </w:trPr>
        <w:tc>
          <w:tcPr>
            <w:tcW w:type="dxa" w:w="253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Tilda (Ebro)</w:t>
            </w:r>
          </w:p>
        </w:tc>
        <w:tc>
          <w:tcPr>
            <w:tcW w:type="dxa" w:w="253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UK-rooted premium basmati with growing US footprint</w:t>
            </w:r>
          </w:p>
        </w:tc>
        <w:tc>
          <w:tcPr>
            <w:tcW w:type="dxa" w:w="97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Mid–High</w:t>
            </w:r>
          </w:p>
        </w:tc>
        <w:tc>
          <w:tcPr>
            <w:tcW w:type="dxa" w:w="331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Brand-led; not the AI-buyer-experience benchmark</w:t>
            </w:r>
          </w:p>
        </w:tc>
      </w:tr>
      <w:tr>
        <w:trPr>
          <w:cantSplit/>
        </w:trPr>
        <w:tc>
          <w:tcPr>
            <w:tcW w:type="dxa" w:w="253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Amira Nature Foods</w:t>
            </w:r>
          </w:p>
        </w:tc>
        <w:tc>
          <w:tcPr>
            <w:tcW w:type="dxa" w:w="253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Premium-branded basmati with private-label footprint claims across 60+ countries</w:t>
            </w:r>
          </w:p>
        </w:tc>
        <w:tc>
          <w:tcPr>
            <w:tcW w:type="dxa" w:w="97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Mid</w:t>
            </w:r>
          </w:p>
        </w:tc>
        <w:tc>
          <w:tcPr>
            <w:tcW w:type="dxa" w:w="331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Historically branded-led; quiet on AI</w:t>
            </w:r>
          </w:p>
        </w:tc>
      </w:tr>
      <w:tr>
        <w:trPr>
          <w:cantSplit/>
        </w:trPr>
        <w:tc>
          <w:tcPr>
            <w:tcW w:type="dxa" w:w="253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Kohinoor Foods</w:t>
            </w:r>
          </w:p>
        </w:tc>
        <w:tc>
          <w:tcPr>
            <w:tcW w:type="dxa" w:w="253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Premium Indian basmati to US retail and private label (Adani / McCormick relationships)</w:t>
            </w:r>
          </w:p>
        </w:tc>
        <w:tc>
          <w:tcPr>
            <w:tcW w:type="dxa" w:w="97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Mid</w:t>
            </w:r>
          </w:p>
        </w:tc>
        <w:tc>
          <w:tcPr>
            <w:tcW w:type="dxa" w:w="331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Brand-led; traditional B2B</w:t>
            </w:r>
          </w:p>
        </w:tc>
      </w:tr>
      <w:tr>
        <w:trPr>
          <w:cantSplit/>
        </w:trPr>
        <w:tc>
          <w:tcPr>
            <w:tcW w:type="dxa" w:w="253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Authentic Royal / Authentic Foods Group</w:t>
            </w:r>
          </w:p>
        </w:tc>
        <w:tc>
          <w:tcPr>
            <w:tcW w:type="dxa" w:w="253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Mid-market US private-label and branded basmati</w:t>
            </w:r>
          </w:p>
        </w:tc>
        <w:tc>
          <w:tcPr>
            <w:tcW w:type="dxa" w:w="97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Mid</w:t>
            </w:r>
          </w:p>
        </w:tc>
        <w:tc>
          <w:tcPr>
            <w:tcW w:type="dxa" w:w="331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Mid-tier digital and AI posture</w:t>
            </w:r>
          </w:p>
        </w:tc>
      </w:tr>
      <w:tr>
        <w:trPr>
          <w:cantSplit/>
        </w:trPr>
        <w:tc>
          <w:tcPr>
            <w:tcW w:type="dxa" w:w="253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Algro International (today)</w:t>
            </w:r>
          </w:p>
        </w:tc>
        <w:tc>
          <w:tcPr>
            <w:tcW w:type="dxa" w:w="253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US arm of Bharat Industrial (1969); specialty, organic, IQF</w:t>
            </w:r>
          </w:p>
        </w:tc>
        <w:tc>
          <w:tcPr>
            <w:tcW w:type="dxa" w:w="97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bCs/>
                <w:color w:val="59595B"/>
                <w:sz w:val="20"/>
                <w:szCs w:val="20"/>
              </w:rPr>
              <w:t xml:space="preserve">Independent</w:t>
            </w:r>
          </w:p>
        </w:tc>
        <w:tc>
          <w:tcPr>
            <w:tcW w:type="dxa" w:w="331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006DB6"/>
                <w:sz w:val="20"/>
                <w:szCs w:val="20"/>
              </w:rPr>
              <w:t xml:space="preserve">Low — clean site, modest LinkedIn, no AI-buyer-experience layer</w:t>
            </w:r>
          </w:p>
        </w:tc>
      </w:tr>
    </w:tbl>
    <w:p>
      <w:pPr>
        <w:spacing w:after="0" w:before="200"/>
      </w:pPr>
      <w:r>
        <w:t xml:space="preserve"/>
      </w:r>
    </w:p>
    <w:p>
      <w:pPr>
        <w:pStyle w:val="Heading2"/>
        <w:keepNext/>
        <w:keepLines/>
        <w:spacing w:after="120" w:before="280"/>
      </w:pPr>
      <w:r>
        <w:rPr>
          <w:rFonts w:ascii="Open Sans" w:cs="Open Sans" w:eastAsia="Open Sans" w:hAnsi="Open Sans"/>
          <w:b/>
          <w:bCs/>
          <w:color w:val="006DB6"/>
          <w:sz w:val="26"/>
          <w:szCs w:val="26"/>
        </w:rPr>
        <w:t xml:space="preserve">Scale &amp; AI Buyer-Experience Scorecard</w:t>
      </w:r>
    </w:p>
    <w:p>
      <w:pPr>
        <w:spacing w:after="140" w:before="0" w:line="320"/>
        <w:jc w:val="both"/>
      </w:pPr>
      <w:r>
        <w:rPr>
          <w:rFonts w:ascii="Open Sans" w:cs="Open Sans" w:eastAsia="Open Sans" w:hAnsi="Open Sans"/>
          <w:b w:val="false"/>
          <w:bCs w:val="false"/>
          <w:i w:val="false"/>
          <w:iCs w:val="false"/>
          <w:color w:val="59595B"/>
          <w:sz w:val="22"/>
          <w:szCs w:val="22"/>
        </w:rPr>
        <w:t xml:space="preserve">Reduced to the two things that decide whether a procurement researcher finds, trusts, and awards — how much operator scale stands behind the supplier, and how mature its AI-buyer-experience and AI-search posture is — the picture is clear, and it shows Algro holding a credible specialty product while ceding the digital ground entirely.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2059"/>
        <w:gridCol w:w="2246"/>
        <w:gridCol w:w="2435"/>
      </w:tblGrid>
      <w:tr>
        <w:trPr>
          <w:cantSplit/>
          <w:tblHeader/>
        </w:trPr>
        <w:tc>
          <w:tcPr>
            <w:tcW w:type="dxa" w:w="262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Player</w:t>
            </w:r>
          </w:p>
        </w:tc>
        <w:tc>
          <w:tcPr>
            <w:tcW w:type="dxa" w:w="2059"/>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Operator Scale</w:t>
            </w:r>
          </w:p>
        </w:tc>
        <w:tc>
          <w:tcPr>
            <w:tcW w:type="dxa" w:w="224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AI / Buyer-Experience</w:t>
            </w:r>
          </w:p>
        </w:tc>
        <w:tc>
          <w:tcPr>
            <w:tcW w:type="dxa" w:w="2435"/>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Verdict</w:t>
            </w:r>
          </w:p>
        </w:tc>
      </w:tr>
      <w:tr>
        <w:trPr>
          <w:cantSplit/>
        </w:trPr>
        <w:tc>
          <w:tcPr>
            <w:tcW w:type="dxa" w:w="26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Olam Agri</w:t>
            </w:r>
          </w:p>
        </w:tc>
        <w:tc>
          <w:tcPr>
            <w:tcW w:type="dxa" w:w="205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Very High</w:t>
            </w:r>
          </w:p>
        </w:tc>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28A745"/>
                <w:sz w:val="20"/>
                <w:szCs w:val="20"/>
              </w:rPr>
              <w:t xml:space="preserve">High</w:t>
            </w:r>
          </w:p>
        </w:tc>
        <w:tc>
          <w:tcPr>
            <w:tcW w:type="dxa" w:w="243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Most digital-mature of the cohort</w:t>
            </w:r>
          </w:p>
        </w:tc>
      </w:tr>
      <w:tr>
        <w:trPr>
          <w:cantSplit/>
        </w:trPr>
        <w:tc>
          <w:tcPr>
            <w:tcW w:type="dxa" w:w="26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LT Foods / KRBL</w:t>
            </w:r>
          </w:p>
        </w:tc>
        <w:tc>
          <w:tcPr>
            <w:tcW w:type="dxa" w:w="205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Very High</w:t>
            </w:r>
          </w:p>
        </w:tc>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F67D4B"/>
                <w:sz w:val="20"/>
                <w:szCs w:val="20"/>
              </w:rPr>
              <w:t xml:space="preserve">Medium–High</w:t>
            </w:r>
          </w:p>
        </w:tc>
        <w:tc>
          <w:tcPr>
            <w:tcW w:type="dxa" w:w="243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Category-leading scale; traditional B2B</w:t>
            </w:r>
          </w:p>
        </w:tc>
      </w:tr>
      <w:tr>
        <w:trPr>
          <w:cantSplit/>
        </w:trPr>
        <w:tc>
          <w:tcPr>
            <w:tcW w:type="dxa" w:w="26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Riviana / Tilda (Ebro)</w:t>
            </w:r>
          </w:p>
        </w:tc>
        <w:tc>
          <w:tcPr>
            <w:tcW w:type="dxa" w:w="205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High</w:t>
            </w:r>
          </w:p>
        </w:tc>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F67D4B"/>
                <w:sz w:val="20"/>
                <w:szCs w:val="20"/>
              </w:rPr>
              <w:t xml:space="preserve">Medium</w:t>
            </w:r>
          </w:p>
        </w:tc>
        <w:tc>
          <w:tcPr>
            <w:tcW w:type="dxa" w:w="243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Brand-strong, digital-mid</w:t>
            </w:r>
          </w:p>
        </w:tc>
      </w:tr>
      <w:tr>
        <w:trPr>
          <w:cantSplit/>
        </w:trPr>
        <w:tc>
          <w:tcPr>
            <w:tcW w:type="dxa" w:w="26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Amira / Kohinoor / Authentic Royal</w:t>
            </w:r>
          </w:p>
        </w:tc>
        <w:tc>
          <w:tcPr>
            <w:tcW w:type="dxa" w:w="205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Mid</w:t>
            </w:r>
          </w:p>
        </w:tc>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CC0000"/>
                <w:sz w:val="20"/>
                <w:szCs w:val="20"/>
              </w:rPr>
              <w:t xml:space="preserve">Low–Medium</w:t>
            </w:r>
          </w:p>
        </w:tc>
        <w:tc>
          <w:tcPr>
            <w:tcW w:type="dxa" w:w="243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Mid-market, modest digital</w:t>
            </w:r>
          </w:p>
        </w:tc>
      </w:tr>
      <w:tr>
        <w:trPr>
          <w:cantSplit/>
        </w:trPr>
        <w:tc>
          <w:tcPr>
            <w:tcW w:type="dxa" w:w="26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Algro International (today)</w:t>
            </w:r>
          </w:p>
        </w:tc>
        <w:tc>
          <w:tcPr>
            <w:tcW w:type="dxa" w:w="205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bCs/>
                <w:color w:val="59595B"/>
                <w:sz w:val="20"/>
                <w:szCs w:val="20"/>
              </w:rPr>
              <w:t xml:space="preserve">Independent</w:t>
            </w:r>
          </w:p>
        </w:tc>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bCs/>
                <w:color w:val="CC0000"/>
                <w:sz w:val="20"/>
                <w:szCs w:val="20"/>
              </w:rPr>
              <w:t xml:space="preserve">Low</w:t>
            </w:r>
          </w:p>
        </w:tc>
        <w:tc>
          <w:tcPr>
            <w:tcW w:type="dxa" w:w="243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006DB6"/>
                <w:sz w:val="20"/>
                <w:szCs w:val="20"/>
              </w:rPr>
              <w:t xml:space="preserve">Credible product, manual buyer engine</w:t>
            </w:r>
          </w:p>
        </w:tc>
      </w:tr>
    </w:tbl>
    <w:p>
      <w:pPr>
        <w:spacing w:after="0" w:before="160"/>
      </w:pPr>
      <w:r>
        <w:t xml:space="preserve"/>
      </w:r>
    </w:p>
    <w:p>
      <w:pPr>
        <w:spacing w:after="140" w:before="0" w:line="320"/>
        <w:jc w:val="both"/>
      </w:pPr>
      <w:r>
        <w:rPr>
          <w:rFonts w:ascii="Open Sans" w:cs="Open Sans" w:eastAsia="Open Sans" w:hAnsi="Open Sans"/>
          <w:b w:val="false"/>
          <w:bCs w:val="false"/>
          <w:i/>
          <w:iCs/>
          <w:color w:val="59595B"/>
          <w:sz w:val="22"/>
          <w:szCs w:val="22"/>
        </w:rPr>
        <w:t xml:space="preserve">Figure 6.0 plots the field on those two axes. Algro sits in the bottom-left — independent scale, near-zero AI-buyer-experience automation. The move is straight up: keep the right-sized, multi-origin, specialty position and add the institutional-grade AI buyer-experience the giants are uniformly behind on, landing in a corner no competitor in the category currently holds.</w:t>
      </w:r>
    </w:p>
    <w:p>
      <w:pPr>
        <w:spacing w:after="0" w:before="60"/>
      </w:pPr>
      <w:r>
        <w:t xml:space="preserve"/>
      </w:r>
    </w:p>
    <w:p>
      <w:pPr>
        <w:spacing w:after="80" w:before="120"/>
        <w:jc w:val="center"/>
      </w:pPr>
      <w:r>
        <w:drawing>
          <wp:inline distT="0" distB="0" distL="0" distR="0">
            <wp:extent cx="5334000" cy="3552825"/>
            <wp:effectExtent t="0" r="0" b="0" l="0"/>
            <wp:docPr id="1" name="Competitive Positioning — Scale vs. AI &amp; Buyer-Experience Maturity" descr="Competitive Positioning — Scale vs. AI &amp; Buyer-Experience Maturity" title="Competitive Positioning — Scale vs. AI &amp; Buyer-Experience Mat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552825"/>
                    </a:xfrm>
                    <a:prstGeom prst="rect">
                      <a:avLst/>
                    </a:prstGeom>
                  </pic:spPr>
                </pic:pic>
              </a:graphicData>
            </a:graphic>
          </wp:inline>
        </w:drawing>
      </w:r>
    </w:p>
    <w:p>
      <w:pPr>
        <w:spacing w:after="240" w:before="0"/>
        <w:jc w:val="center"/>
      </w:pPr>
      <w:r>
        <w:rPr>
          <w:rFonts w:ascii="Open Sans" w:cs="Open Sans" w:eastAsia="Open Sans" w:hAnsi="Open Sans"/>
          <w:i/>
          <w:iCs/>
          <w:color w:val="59595B"/>
          <w:sz w:val="18"/>
          <w:szCs w:val="18"/>
        </w:rPr>
        <w:t xml:space="preserve">Figure 6.0 — Competitive Positioning: Operator Scale vs. AI &amp; Buyer-Experience Maturity</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Where Algro Wins — The White Space</w:t>
            </w:r>
          </w:p>
          <w:p>
            <w:pPr>
              <w:keepNext/>
              <w:keepLines/>
              <w:spacing w:after="60" w:before="40" w:line="300"/>
            </w:pPr>
            <w:r>
              <w:rPr>
                <w:rFonts w:ascii="Open Sans" w:cs="Open Sans" w:eastAsia="Open Sans" w:hAnsi="Open Sans"/>
                <w:color w:val="59595B"/>
                <w:sz w:val="20"/>
                <w:szCs w:val="20"/>
              </w:rPr>
              <w:t xml:space="preserve">The top-left corner — an independent, right-sized specialty supplier running institutional-grade AI buyer-experience — is empty. The category’s giants have the scale but not the AI-buyer-experience; the mid-market players have neither.</w:t>
            </w:r>
          </w:p>
          <w:p>
            <w:pPr>
              <w:keepNext/>
              <w:keepLines/>
              <w:spacing w:after="60" w:before="40" w:line="300"/>
            </w:pPr>
            <w:r>
              <w:rPr>
                <w:rFonts w:ascii="Open Sans" w:cs="Open Sans" w:eastAsia="Open Sans" w:hAnsi="Open Sans"/>
                <w:color w:val="59595B"/>
                <w:sz w:val="20"/>
                <w:szCs w:val="20"/>
              </w:rPr>
              <w:t xml:space="preserve">There is an honest opening even against the giants: scale does not mean responsive. A multi-billion-dollar miller takes longer to respond to a buyer audit, a tariff swing, or an FSMA-readiness question than a thirteen-person Irvine team running an AI documentation engine.</w:t>
            </w:r>
          </w:p>
          <w:p>
            <w:pPr>
              <w:keepNext w:val="false"/>
              <w:keepLines/>
              <w:spacing w:after="60" w:before="40" w:line="300"/>
            </w:pPr>
            <w:r>
              <w:rPr>
                <w:rFonts w:ascii="Open Sans" w:cs="Open Sans" w:eastAsia="Open Sans" w:hAnsi="Open Sans"/>
                <w:color w:val="59595B"/>
                <w:sz w:val="20"/>
                <w:szCs w:val="20"/>
              </w:rPr>
              <w:t xml:space="preserve">Algro already has the product, the certifications, and the parent-company milling base. Adding the AI buyer-experience layer puts it in a position none of its direct rivals occupy — and the same engine carries over to the Simply So consumer brand and the BIEL parent export markets.</w:t>
            </w:r>
          </w:p>
        </w:tc>
      </w:tr>
    </w:tbl>
    <w:p>
      <w:pPr>
        <w:pStyle w:val="Heading1"/>
        <w:keepNext/>
        <w:pageBreakBefore/>
        <w:spacing w:after="120" w:before="0" w:line="240"/>
      </w:pPr>
      <w:r>
        <w:rPr>
          <w:rFonts w:ascii="Open Sans" w:cs="Open Sans" w:eastAsia="Open Sans" w:hAnsi="Open Sans"/>
          <w:color w:val="FFFFFF"/>
          <w:sz w:val="2"/>
          <w:szCs w:val="2"/>
        </w:rPr>
        <w:t xml:space="preserve">07  Brand &amp; Digital Presence Audit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67D4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F67D4B"/>
                <w:sz w:val="34"/>
                <w:szCs w:val="34"/>
              </w:rPr>
              <w:t xml:space="preserve">07  Brand &amp; Digital Presence Audit</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For a US importer fronting a 57-year-old Indian milling base across three certified product lines and three North American facilities, the digital footprint materially under-represents the business — and it matters precisely when a procurement researcher’s first move is a search, an AI question, and a quick scan of the supplier’s public presence before they ever ask a sample. The product range is real; the buyer-facing surface that signals it is light.</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3182"/>
        <w:gridCol w:w="3745"/>
      </w:tblGrid>
      <w:tr>
        <w:trPr>
          <w:cantSplit/>
          <w:tblHeader/>
        </w:trPr>
        <w:tc>
          <w:tcPr>
            <w:tcW w:type="dxa" w:w="2433"/>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Digital Asset</w:t>
            </w:r>
          </w:p>
        </w:tc>
        <w:tc>
          <w:tcPr>
            <w:tcW w:type="dxa" w:w="318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Current State</w:t>
            </w:r>
          </w:p>
        </w:tc>
        <w:tc>
          <w:tcPr>
            <w:tcW w:type="dxa" w:w="3745"/>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Gap / Opportunity</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algrointernational.com</w:t>
            </w:r>
          </w:p>
        </w:tc>
        <w:tc>
          <w:tcPr>
            <w:tcW w:type="dxa" w:w="318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Clean product catalogue and contact form; some sub-pages return 404; no buyer self-service or thought leadership</w:t>
            </w:r>
          </w:p>
        </w:tc>
        <w:tc>
          <w:tcPr>
            <w:tcW w:type="dxa" w:w="374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Buyer-side conversational layer; a category-authority resource library on tariffs, FSMA 204, multi-origin compliance; case studies if relationships allow</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Certification documentation</w:t>
            </w:r>
          </w:p>
        </w:tc>
        <w:tc>
          <w:tcPr>
            <w:tcW w:type="dxa" w:w="318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Quality and CCOF NOP organic stamps on the home page; no public buyer-side documentation portal</w:t>
            </w:r>
          </w:p>
        </w:tc>
        <w:tc>
          <w:tcPr>
            <w:tcW w:type="dxa" w:w="374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buyer-credentialing portal where invited procurement contacts pull current certifications, COAs, and SDS without an email round-trip</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LinkedIn presence</w:t>
            </w:r>
          </w:p>
        </w:tc>
        <w:tc>
          <w:tcPr>
            <w:tcW w:type="dxa" w:w="318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modest follower base of roughly a thousand (small for the category, per the public page at time of research); no visible publishing cadence</w:t>
            </w:r>
          </w:p>
        </w:tc>
        <w:tc>
          <w:tcPr>
            <w:tcW w:type="dxa" w:w="374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regular cadence on tariffs, FSMA, organic supply, and multi-origin compliance — signed off by Deepak and Sinem, drafted by the content engine</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Parent (bielfood.com)</w:t>
            </w:r>
          </w:p>
        </w:tc>
        <w:tc>
          <w:tcPr>
            <w:tcW w:type="dxa" w:w="318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late-2010s static site under-using the 1969 / 54-country / BRC story</w:t>
            </w:r>
          </w:p>
        </w:tc>
        <w:tc>
          <w:tcPr>
            <w:tcW w:type="dxa" w:w="374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US-market translation of the parent authority into category-leading content the US sales team can attach to RFP responses</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AI-search visibility</w:t>
            </w:r>
          </w:p>
        </w:tc>
        <w:tc>
          <w:tcPr>
            <w:tcW w:type="dxa" w:w="318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Below the citation surface on procurement queries (organic basmati private-label, USDA NOP IQF rice California, FSMA-204 rice importer)</w:t>
            </w:r>
          </w:p>
        </w:tc>
        <w:tc>
          <w:tcPr>
            <w:tcW w:type="dxa" w:w="374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Multi-Agent SEO + AEO targeting the exact procurement queries — the Technijian-built capability sits here</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Buyer documentation operations</w:t>
            </w:r>
          </w:p>
        </w:tc>
        <w:tc>
          <w:tcPr>
            <w:tcW w:type="dxa" w:w="318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Best understood as a small team plus shared drives plus email; no indexed library, no auto-draft of buyer responses</w:t>
            </w:r>
          </w:p>
        </w:tc>
        <w:tc>
          <w:tcPr>
            <w:tcW w:type="dxa" w:w="374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buyer-documentation engine: index every certificate, every plan, every prior RFP response; auto-draft new responses in the buyer’s format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The Presence Gap Is the On-Ramp</w:t>
            </w:r>
          </w:p>
          <w:p>
            <w:pPr>
              <w:keepNext/>
              <w:keepLines/>
              <w:spacing w:after="60" w:before="40" w:line="300"/>
            </w:pPr>
            <w:r>
              <w:rPr>
                <w:rFonts w:ascii="Open Sans" w:cs="Open Sans" w:eastAsia="Open Sans" w:hAnsi="Open Sans"/>
                <w:color w:val="59595B"/>
                <w:sz w:val="20"/>
                <w:szCs w:val="20"/>
              </w:rPr>
              <w:t xml:space="preserve">None of this requires changing the supply chain or the certifications — only making a credible specialty importer visible to the buyer it is already qualified to serve.</w:t>
            </w:r>
          </w:p>
          <w:p>
            <w:pPr>
              <w:keepNext/>
              <w:keepLines/>
              <w:spacing w:after="60" w:before="40" w:line="300"/>
            </w:pPr>
            <w:r>
              <w:rPr>
                <w:rFonts w:ascii="Open Sans" w:cs="Open Sans" w:eastAsia="Open Sans" w:hAnsi="Open Sans"/>
                <w:color w:val="59595B"/>
                <w:sz w:val="20"/>
                <w:szCs w:val="20"/>
              </w:rPr>
              <w:t xml:space="preserve">AI-search visibility, the conversational buyer-side layer, the documentation engine, and the renewed LinkedIn cadence are compounding moves: each lifts the share of qualified RFPs Algro receives and the share it converts.</w:t>
            </w:r>
          </w:p>
          <w:p>
            <w:pPr>
              <w:keepNext w:val="false"/>
              <w:keepLines/>
              <w:spacing w:after="60" w:before="40" w:line="300"/>
            </w:pPr>
            <w:r>
              <w:rPr>
                <w:rFonts w:ascii="Open Sans" w:cs="Open Sans" w:eastAsia="Open Sans" w:hAnsi="Open Sans"/>
                <w:color w:val="59595B"/>
                <w:sz w:val="20"/>
                <w:szCs w:val="20"/>
              </w:rPr>
              <w:t xml:space="preserve">They are also the natural first ninety days — get cited, capture the inbound, and stand the documentation engine up — before any large build, so the entry phase pays back fast.</w:t>
            </w:r>
          </w:p>
        </w:tc>
      </w:tr>
    </w:tbl>
    <w:p>
      <w:pPr>
        <w:spacing w:after="0" w:before="160"/>
      </w:pPr>
      <w:r>
        <w:t xml:space="preserve"/>
      </w:r>
    </w:p>
    <w:p>
      <w:pPr>
        <w:pStyle w:val="Heading2"/>
        <w:keepNext/>
        <w:keepLines/>
        <w:spacing w:after="120" w:before="280"/>
      </w:pPr>
      <w:r>
        <w:rPr>
          <w:rFonts w:ascii="Open Sans" w:cs="Open Sans" w:eastAsia="Open Sans" w:hAnsi="Open Sans"/>
          <w:b/>
          <w:bCs/>
          <w:color w:val="F67D4B"/>
          <w:sz w:val="26"/>
          <w:szCs w:val="26"/>
        </w:rPr>
        <w:t xml:space="preserve">AI Search Reality Check</w:t>
      </w:r>
    </w:p>
    <w:p>
      <w:pPr>
        <w:spacing w:after="140" w:before="0" w:line="320"/>
        <w:jc w:val="both"/>
      </w:pPr>
      <w:r>
        <w:rPr>
          <w:rFonts w:ascii="Open Sans" w:cs="Open Sans" w:eastAsia="Open Sans" w:hAnsi="Open Sans"/>
          <w:b w:val="false"/>
          <w:bCs w:val="false"/>
          <w:i w:val="false"/>
          <w:iCs w:val="false"/>
          <w:color w:val="59595B"/>
          <w:sz w:val="22"/>
          <w:szCs w:val="22"/>
        </w:rPr>
        <w:t xml:space="preserve">Here is the gap made concrete. When a procurement researcher asks an AI assistant the question below today, this is the shape of the answer they get — illustrative of how AI search resolves this query right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Prompt: "USDA NOP certified organic basmati private-label supplier in California, FSMA-204-ready?"</w:t>
            </w:r>
          </w:p>
          <w:p>
            <w:pPr>
              <w:keepNext/>
              <w:keepLines/>
              <w:spacing w:after="60" w:before="40" w:line="300"/>
            </w:pPr>
            <w:r>
              <w:rPr>
                <w:rFonts w:ascii="Open Sans" w:cs="Open Sans" w:eastAsia="Open Sans" w:hAnsi="Open Sans"/>
                <w:color w:val="59595B"/>
                <w:sz w:val="20"/>
                <w:szCs w:val="20"/>
              </w:rPr>
              <w:t xml:space="preserve">TODAY — the AI assistant answers with whichever suppliers have the strongest content and third-party signals it can read: it names the category giants (LT Foods / Royal, KRBL / India Gate, Riviana) and a couple of larger private-label houses, and does NOT mention Algro — even though Algro holds the CCOF NOP organic certificate in California and the multi-origin specialty range the query is actually asking for. Algro is invisible at the exact moment the buyer is forming a shortlist.</w:t>
            </w:r>
          </w:p>
          <w:p>
            <w:pPr>
              <w:keepNext w:val="false"/>
              <w:keepLines/>
              <w:spacing w:after="60" w:before="40" w:line="300"/>
            </w:pPr>
            <w:r>
              <w:rPr>
                <w:rFonts w:ascii="Open Sans" w:cs="Open Sans" w:eastAsia="Open Sans" w:hAnsi="Open Sans"/>
                <w:color w:val="59595B"/>
                <w:sz w:val="20"/>
                <w:szCs w:val="20"/>
              </w:rPr>
              <w:t xml:space="preserve">AFTER AEO — the same query returns Algro as a cited option (“Algro International is a USDA NOP organic, multi-origin specialty-rice supplier in Irvine, CA, with FSVP and FSMA-204-ready documentation…”), with the certification library and the category content as the supporting evidence the assistant points to.</w:t>
            </w:r>
          </w:p>
        </w:tc>
      </w:tr>
    </w:tbl>
    <w:p>
      <w:pPr>
        <w:spacing w:after="140" w:before="0" w:line="320"/>
        <w:jc w:val="both"/>
      </w:pPr>
      <w:r>
        <w:rPr>
          <w:rFonts w:ascii="Open Sans" w:cs="Open Sans" w:eastAsia="Open Sans" w:hAnsi="Open Sans"/>
          <w:b w:val="false"/>
          <w:bCs w:val="false"/>
          <w:i/>
          <w:iCs/>
          <w:color w:val="59595B"/>
          <w:sz w:val="18"/>
          <w:szCs w:val="18"/>
        </w:rPr>
        <w:t xml:space="preserve">(Illustrative of current AI-search behavior for this query class; the live result is captured as the Quick Wins baseline in Section 14.)</w:t>
      </w:r>
    </w:p>
    <w:p>
      <w:pPr>
        <w:spacing w:after="0" w:before="160"/>
      </w:pPr>
      <w:r>
        <w:t xml:space="preserve"/>
      </w:r>
    </w:p>
    <w:p>
      <w:pPr>
        <w:pStyle w:val="Heading2"/>
        <w:keepNext/>
        <w:keepLines/>
        <w:spacing w:after="120" w:before="280"/>
      </w:pPr>
      <w:r>
        <w:rPr>
          <w:rFonts w:ascii="Open Sans" w:cs="Open Sans" w:eastAsia="Open Sans" w:hAnsi="Open Sans"/>
          <w:b/>
          <w:bCs/>
          <w:color w:val="CC0000"/>
          <w:sz w:val="26"/>
          <w:szCs w:val="26"/>
        </w:rPr>
        <w:t xml:space="preserve">The Cost of Waiting</w:t>
      </w:r>
    </w:p>
    <w:p>
      <w:pPr>
        <w:spacing w:after="140" w:before="0" w:line="320"/>
        <w:jc w:val="both"/>
      </w:pPr>
      <w:r>
        <w:rPr>
          <w:rFonts w:ascii="Open Sans" w:cs="Open Sans" w:eastAsia="Open Sans" w:hAnsi="Open Sans"/>
          <w:b w:val="false"/>
          <w:bCs w:val="false"/>
          <w:i w:val="false"/>
          <w:iCs w:val="false"/>
          <w:color w:val="59595B"/>
          <w:sz w:val="22"/>
          <w:szCs w:val="22"/>
        </w:rPr>
        <w:t xml:space="preserve">AI-search visibility compounds, and it rewards whoever optimizes first. Every quarter Algro is not cited, the assistants learn to answer “organic basmati private-label supplier” with someone else — and that default, once set in the training and retrieval data, is far harder and more expensive to dislodge than to claim now. The tariff, FSMA-204, and multi-origin compliance conversation is genuinely under-covered today; that is a window a thirteen-person team can own before a multi-billion-dollar competitor re-platforms onto AI-buyer-experience. The cost of waiting is not zero — it is a competitor becoming the default answer, and an RFP cycle’s worth of awards going to whoever responded first.</w:t>
      </w:r>
    </w:p>
    <w:p>
      <w:pPr>
        <w:pStyle w:val="Heading1"/>
        <w:keepNext/>
        <w:pageBreakBefore/>
        <w:spacing w:after="120" w:before="0" w:line="240"/>
      </w:pPr>
      <w:r>
        <w:rPr>
          <w:rFonts w:ascii="Open Sans" w:cs="Open Sans" w:eastAsia="Open Sans" w:hAnsi="Open Sans"/>
          <w:color w:val="FFFFFF"/>
          <w:sz w:val="2"/>
          <w:szCs w:val="2"/>
        </w:rPr>
        <w:t xml:space="preserve">08  The Silent Margin Leak — Where Revenue Walks Out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A1A2E"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A1A2E"/>
                <w:sz w:val="34"/>
                <w:szCs w:val="34"/>
              </w:rPr>
              <w:t xml:space="preserve">08  The Silent Margin Leak — Where Revenue Walks Out</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This section names the cost that does not appear on any report, because it is the one most expensive to ignore. A US arm with three facilities, organic certification, and a 1969 Indian milling base behind it should be holding more of its category than a small team can currently service with manual documentation operations. The revenue lost to slow RFP turnaround, tariff-driven margin compression that nobody hedged, and buyer renewals lost to faster responders is not a rounding error — it is a silent margin leak that never shows up as a line item, only as RFPs that did not return, accounts that did not renew, and audits that took weeks instead of days.</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The RFPs That Got Skipped Because There Was No Bandwidth</w:t>
      </w:r>
    </w:p>
    <w:p>
      <w:pPr>
        <w:spacing w:after="140" w:before="0" w:line="320"/>
        <w:jc w:val="both"/>
      </w:pPr>
      <w:r>
        <w:rPr>
          <w:rFonts w:ascii="Open Sans" w:cs="Open Sans" w:eastAsia="Open Sans" w:hAnsi="Open Sans"/>
          <w:b w:val="false"/>
          <w:bCs w:val="false"/>
          <w:i w:val="false"/>
          <w:iCs w:val="false"/>
          <w:color w:val="59595B"/>
          <w:sz w:val="22"/>
          <w:szCs w:val="22"/>
        </w:rPr>
        <w:t xml:space="preserve">A small US sales and quality team can sustain a finite number of full RFP responses in a quarter — particularly when each response is a hundred-plus questions assembled by hand from a shared drive of FSVP plans, lot COAs, certificates, and prior responses. The result is a quiet triage: the easy ones get answered fast, the complicated ones get deferred, and a meaningful share of qualified opportunities never get a full response at all. Every skipped RFP is an award that went to a competitor with more bandwidth, not more product. AI-drafted responses against an indexed certification library turn that bandwidth ceiling into a non-issue — without changing the team.</w:t>
      </w:r>
    </w:p>
    <w:p>
      <w:pPr>
        <w:spacing w:after="0" w:before="6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math is unforgiving in the right direction: when each fully-answered RFP carries a real chance to win a multi-year, multi-million-dollar private-label or foodservice award, even a handful of additional RFP completions a year — at the same win rate — adds up quickly. Documentation velocity is not a soft metric here; it is awards on the table that are currently being left there.</w:t>
      </w:r>
    </w:p>
    <w:p>
      <w:pPr>
        <w:spacing w:after="0" w:before="120"/>
      </w:pPr>
      <w:r>
        <w:t xml:space="preserve"/>
      </w:r>
    </w:p>
    <w:p>
      <w:pPr>
        <w:pStyle w:val="Heading2"/>
        <w:keepNext/>
        <w:keepLines/>
        <w:spacing w:after="120" w:before="280"/>
      </w:pPr>
      <w:r>
        <w:rPr>
          <w:rFonts w:ascii="Open Sans" w:cs="Open Sans" w:eastAsia="Open Sans" w:hAnsi="Open Sans"/>
          <w:b/>
          <w:bCs/>
          <w:color w:val="006DB6"/>
          <w:sz w:val="26"/>
          <w:szCs w:val="26"/>
        </w:rPr>
        <w:t xml:space="preserve">The Tariff Margin That Nobody Hedged</w:t>
      </w:r>
    </w:p>
    <w:p>
      <w:pPr>
        <w:spacing w:after="140" w:before="0" w:line="320"/>
        <w:jc w:val="both"/>
      </w:pPr>
      <w:r>
        <w:rPr>
          <w:rFonts w:ascii="Open Sans" w:cs="Open Sans" w:eastAsia="Open Sans" w:hAnsi="Open Sans"/>
          <w:b w:val="false"/>
          <w:bCs w:val="false"/>
          <w:i w:val="false"/>
          <w:iCs w:val="false"/>
          <w:color w:val="59595B"/>
          <w:sz w:val="22"/>
          <w:szCs w:val="22"/>
        </w:rPr>
        <w:t xml:space="preserve">The 2025 swing on Indian basmati — 10 percent to 50 percent to a settled 18 percent inside one year — moved cost of goods by hundreds of basis points on the most important product category, with Thai and Pakistani origin sitting near 19 percent. A supplier that watched the signal early and proposed an origin-mix update to buyers ahead of contract review protected margin; a supplier that did not absorbed the swing or, worse, lost a buyer when a faster competitor came in with a re-priced proposal first. The tariff signal is not going away — and AI that watches USITC postings, India and Thailand commerce-ministry filings, freight indices, and FX, and proactively reformulates the cost model and origin-mix per buyer, is the cheapest possible insurance.</w:t>
      </w:r>
    </w:p>
    <w:p>
      <w:pPr>
        <w:spacing w:after="0" w:before="120"/>
      </w:pPr>
      <w:r>
        <w:t xml:space="preserve"/>
      </w:r>
    </w:p>
    <w:p>
      <w:pPr>
        <w:pStyle w:val="Heading2"/>
        <w:keepNext/>
        <w:keepLines/>
        <w:spacing w:after="120" w:before="280"/>
      </w:pPr>
      <w:r>
        <w:rPr>
          <w:rFonts w:ascii="Open Sans" w:cs="Open Sans" w:eastAsia="Open Sans" w:hAnsi="Open Sans"/>
          <w:b/>
          <w:bCs/>
          <w:color w:val="006DB6"/>
          <w:sz w:val="26"/>
          <w:szCs w:val="26"/>
        </w:rPr>
        <w:t xml:space="preserve">The Renewals That Went Quiet</w:t>
      </w:r>
    </w:p>
    <w:p>
      <w:pPr>
        <w:spacing w:after="140" w:before="0" w:line="320"/>
        <w:jc w:val="both"/>
      </w:pPr>
      <w:r>
        <w:rPr>
          <w:rFonts w:ascii="Open Sans" w:cs="Open Sans" w:eastAsia="Open Sans" w:hAnsi="Open Sans"/>
          <w:b w:val="false"/>
          <w:bCs w:val="false"/>
          <w:i w:val="false"/>
          <w:iCs w:val="false"/>
          <w:color w:val="59595B"/>
          <w:sz w:val="22"/>
          <w:szCs w:val="22"/>
        </w:rPr>
        <w:t xml:space="preserve">The most expensive vacancy in this business is the account that does not formally cancel — it simply stops returning the next RFP, and the next, and the next. The reasons are usually small and avoidable: a buyer audit that took three rounds instead of one; a certification document that was hard to find when the procurement team’s quality reviewer asked; a tariff-driven cost shift that arrived as a surprise instead of a proactive proposal. None of those are product failures; all of them are documentation, communication, and signal failures — and all of them drive the avoidable churn that AI-enabled account-renewal intelligence and sales-pipeline memory protect against.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A1A2E"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A1A2E"/>
                <w:sz w:val="22"/>
                <w:szCs w:val="22"/>
              </w:rPr>
              <w:t xml:space="preserve">Three Leaks, One Engine</w:t>
            </w:r>
          </w:p>
          <w:p>
            <w:pPr>
              <w:keepNext/>
              <w:keepLines/>
              <w:spacing w:after="60" w:before="40" w:line="300"/>
            </w:pPr>
            <w:r>
              <w:rPr>
                <w:rFonts w:ascii="Open Sans" w:cs="Open Sans" w:eastAsia="Open Sans" w:hAnsi="Open Sans"/>
                <w:color w:val="59595B"/>
                <w:sz w:val="20"/>
                <w:szCs w:val="20"/>
              </w:rPr>
              <w:t xml:space="preserve">RFPs skipped because the documentation tax is too heavy; tariff swings that compress margin because no signal was watched; and accounts that quietly stop returning the next RFP. None is a product failure — each is a documentation, signal, or memory failure.</w:t>
            </w:r>
          </w:p>
          <w:p>
            <w:pPr>
              <w:keepNext/>
              <w:keepLines/>
              <w:spacing w:after="60" w:before="40" w:line="300"/>
            </w:pPr>
            <w:r>
              <w:rPr>
                <w:rFonts w:ascii="Open Sans" w:cs="Open Sans" w:eastAsia="Open Sans" w:hAnsi="Open Sans"/>
                <w:color w:val="59595B"/>
                <w:sz w:val="20"/>
                <w:szCs w:val="20"/>
              </w:rPr>
              <w:t xml:space="preserve">These are exactly the failures the AI growth engine closes: auto-drafted RFP responses against an indexed library, a tariff signal monitor that proposes origin-mix updates per buyer, and a sales-pipeline memory that watches every account’s audit cycle and renewal trigger.</w:t>
            </w:r>
          </w:p>
          <w:p>
            <w:pPr>
              <w:keepNext w:val="false"/>
              <w:keepLines/>
              <w:spacing w:after="60" w:before="40" w:line="300"/>
            </w:pPr>
            <w:r>
              <w:rPr>
                <w:rFonts w:ascii="Open Sans" w:cs="Open Sans" w:eastAsia="Open Sans" w:hAnsi="Open Sans"/>
                <w:color w:val="59595B"/>
                <w:sz w:val="20"/>
                <w:szCs w:val="20"/>
              </w:rPr>
              <w:t xml:space="preserve">This is the highest-conviction place to start, because it converts RFPs and accounts the company already has into awards and renewals it is currently losing.</w:t>
            </w:r>
          </w:p>
        </w:tc>
      </w:tr>
    </w:tbl>
    <w:p>
      <w:pPr>
        <w:pStyle w:val="Heading1"/>
        <w:keepNext/>
        <w:pageBreakBefore/>
        <w:spacing w:after="120" w:before="0" w:line="240"/>
      </w:pPr>
      <w:r>
        <w:rPr>
          <w:rFonts w:ascii="Open Sans" w:cs="Open Sans" w:eastAsia="Open Sans" w:hAnsi="Open Sans"/>
          <w:color w:val="FFFFFF"/>
          <w:sz w:val="2"/>
          <w:szCs w:val="2"/>
        </w:rPr>
        <w:t xml:space="preserve">09  Technijian Capability Proof</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09  Technijian Capability Proof</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This section separates two things plainly. First are proven builds — systems Technijian has actually built and operates. Then come the productized services Algro would engage. Each is labeled for what it is, and each maps to a specific Algro use case. Technijian has not built an AI buyer-documentation engine for a food importer before; what it has built is the conversational, document, and search AI a buyer-documentation engine is made of — and that is the honest claim.</w:t>
      </w:r>
    </w:p>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Proven Builds — Systems Technijian Has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AI Document Intelligence for FINRA Broker-Dealers</w:t>
            </w:r>
          </w:p>
          <w:p>
            <w:pPr>
              <w:keepNext/>
              <w:spacing w:after="60"/>
            </w:pPr>
            <w:r>
              <w:rPr>
                <w:rFonts w:ascii="Open Sans" w:cs="Open Sans" w:eastAsia="Open Sans" w:hAnsi="Open Sans"/>
                <w:b/>
                <w:bCs/>
                <w:color w:val="006DB6"/>
                <w:sz w:val="20"/>
                <w:szCs w:val="20"/>
              </w:rPr>
              <w:t xml:space="preserve">What Technijian Built: </w:t>
            </w:r>
            <w:r>
              <w:rPr>
                <w:rFonts w:ascii="Open Sans" w:cs="Open Sans" w:eastAsia="Open Sans" w:hAnsi="Open Sans"/>
                <w:color w:val="59595B"/>
                <w:sz w:val="20"/>
                <w:szCs w:val="20"/>
              </w:rPr>
              <w:t xml:space="preserve">Technijian deployed AI document intelligence that auto-populates and reviews complex documents for FINRA-registered broker-dealers, cutting response time from days to minutes with 60 to 80 percent less manual review.</w:t>
            </w:r>
          </w:p>
          <w:p>
            <w:pPr>
              <w:spacing w:after="60"/>
            </w:pPr>
            <w:r>
              <w:rPr>
                <w:rFonts w:ascii="Open Sans" w:cs="Open Sans" w:eastAsia="Open Sans" w:hAnsi="Open Sans"/>
                <w:b/>
                <w:bCs/>
                <w:color w:val="F67D4B"/>
                <w:sz w:val="20"/>
                <w:szCs w:val="20"/>
              </w:rPr>
              <w:t xml:space="preserve">How This Applies to Algro: </w:t>
            </w:r>
            <w:r>
              <w:rPr>
                <w:rFonts w:ascii="Open Sans" w:cs="Open Sans" w:eastAsia="Open Sans" w:hAnsi="Open Sans"/>
                <w:color w:val="59595B"/>
                <w:sz w:val="20"/>
                <w:szCs w:val="20"/>
              </w:rPr>
              <w:t xml:space="preserve">Pointed at Algro’s documentation load, the same approach drafts RFP and RFI responses in the buyer’s exact format from an indexed library of FSVP plans, HARPC controls, lot COAs, organic and kosher and halal certificates, allergen statements, and prior buyer responses — at the same win rate, against more RFPs.</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Multi-Agent SEO &amp; Answer-Engine Platform</w:t>
            </w:r>
          </w:p>
          <w:p>
            <w:pPr>
              <w:keepNext/>
              <w:spacing w:after="60"/>
            </w:pPr>
            <w:r>
              <w:rPr>
                <w:rFonts w:ascii="Open Sans" w:cs="Open Sans" w:eastAsia="Open Sans" w:hAnsi="Open Sans"/>
                <w:b/>
                <w:bCs/>
                <w:color w:val="006DB6"/>
                <w:sz w:val="20"/>
                <w:szCs w:val="20"/>
              </w:rPr>
              <w:t xml:space="preserve">What Technijian Built: </w:t>
            </w:r>
            <w:r>
              <w:rPr>
                <w:rFonts w:ascii="Open Sans" w:cs="Open Sans" w:eastAsia="Open Sans" w:hAnsi="Open Sans"/>
                <w:color w:val="59595B"/>
                <w:sz w:val="20"/>
                <w:szCs w:val="20"/>
              </w:rPr>
              <w:t xml:space="preserve">Technijian built a multi-agent content and search platform (Claude, GPT-4o, and Gemini with live search and analytics integrations) that produces authoritative, well-researched content and cut content production time by roughly 70 percent.</w:t>
            </w:r>
          </w:p>
          <w:p>
            <w:pPr>
              <w:spacing w:after="60"/>
            </w:pPr>
            <w:r>
              <w:rPr>
                <w:rFonts w:ascii="Open Sans" w:cs="Open Sans" w:eastAsia="Open Sans" w:hAnsi="Open Sans"/>
                <w:b/>
                <w:bCs/>
                <w:color w:val="F67D4B"/>
                <w:sz w:val="20"/>
                <w:szCs w:val="20"/>
              </w:rPr>
              <w:t xml:space="preserve">How This Applies to Algro: </w:t>
            </w:r>
            <w:r>
              <w:rPr>
                <w:rFonts w:ascii="Open Sans" w:cs="Open Sans" w:eastAsia="Open Sans" w:hAnsi="Open Sans"/>
                <w:color w:val="59595B"/>
                <w:sz w:val="20"/>
                <w:szCs w:val="20"/>
              </w:rPr>
              <w:t xml:space="preserve">This is how Algro gets cited: AI-search authority on the procurement queries that matter — USDA NOP organic basmati private-label supplier, FSMA-204 readiness for imported rice, multi-origin organic chain of custody — so that ChatGPT, Perplexity, and Google AI surface Algro as a credible answer.</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ScamShield — Multi-Model Review (LLM Council)</w:t>
            </w:r>
          </w:p>
          <w:p>
            <w:pPr>
              <w:keepNext/>
              <w:spacing w:after="60"/>
            </w:pPr>
            <w:r>
              <w:rPr>
                <w:rFonts w:ascii="Open Sans" w:cs="Open Sans" w:eastAsia="Open Sans" w:hAnsi="Open Sans"/>
                <w:b/>
                <w:bCs/>
                <w:color w:val="006DB6"/>
                <w:sz w:val="20"/>
                <w:szCs w:val="20"/>
              </w:rPr>
              <w:t xml:space="preserve">What Technijian Built: </w:t>
            </w:r>
            <w:r>
              <w:rPr>
                <w:rFonts w:ascii="Open Sans" w:cs="Open Sans" w:eastAsia="Open Sans" w:hAnsi="Open Sans"/>
                <w:color w:val="59595B"/>
                <w:sz w:val="20"/>
                <w:szCs w:val="20"/>
              </w:rPr>
              <w:t xml:space="preserve">Technijian architected ScamShield using a three-model LLM Council (Claude, GPT-4o, and Gemini) with risk scoring and persistent memory — a conversational design that cross-checks each answer instead of trusting a single pass.</w:t>
            </w:r>
          </w:p>
          <w:p>
            <w:pPr>
              <w:spacing w:after="60"/>
            </w:pPr>
            <w:r>
              <w:rPr>
                <w:rFonts w:ascii="Open Sans" w:cs="Open Sans" w:eastAsia="Open Sans" w:hAnsi="Open Sans"/>
                <w:b/>
                <w:bCs/>
                <w:color w:val="F67D4B"/>
                <w:sz w:val="20"/>
                <w:szCs w:val="20"/>
              </w:rPr>
              <w:t xml:space="preserve">How This Applies to Algro: </w:t>
            </w:r>
            <w:r>
              <w:rPr>
                <w:rFonts w:ascii="Open Sans" w:cs="Open Sans" w:eastAsia="Open Sans" w:hAnsi="Open Sans"/>
                <w:color w:val="59595B"/>
                <w:sz w:val="20"/>
                <w:szCs w:val="20"/>
              </w:rPr>
              <w:t xml:space="preserve">That cross-checked, multi-model design is exactly what a buyer-side conversational layer needs: it answers procurement questions on capability, certification, MOQ, and lead time consistently, and can verify each response is on-spec before it is sent — the same discipline FINRA and food-safety documentation require.</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Enterprise Knowledge &amp; Memory System (Weaviate + Obsidian)</w:t>
            </w:r>
          </w:p>
          <w:p>
            <w:pPr>
              <w:keepNext/>
              <w:spacing w:after="60"/>
            </w:pPr>
            <w:r>
              <w:rPr>
                <w:rFonts w:ascii="Open Sans" w:cs="Open Sans" w:eastAsia="Open Sans" w:hAnsi="Open Sans"/>
                <w:b/>
                <w:bCs/>
                <w:color w:val="006DB6"/>
                <w:sz w:val="20"/>
                <w:szCs w:val="20"/>
              </w:rPr>
              <w:t xml:space="preserve">What Technijian Built: </w:t>
            </w:r>
            <w:r>
              <w:rPr>
                <w:rFonts w:ascii="Open Sans" w:cs="Open Sans" w:eastAsia="Open Sans" w:hAnsi="Open Sans"/>
                <w:color w:val="59595B"/>
                <w:sz w:val="20"/>
                <w:szCs w:val="20"/>
              </w:rPr>
              <w:t xml:space="preserve">Technijian built a private enterprise knowledge and memory system on Weaviate and Obsidian that turns an organization’s files, history, and people-knowledge into a secure, queryable resource the whole team can search in plain language.</w:t>
            </w:r>
          </w:p>
          <w:p>
            <w:pPr>
              <w:spacing w:after="60"/>
            </w:pPr>
            <w:r>
              <w:rPr>
                <w:rFonts w:ascii="Open Sans" w:cs="Open Sans" w:eastAsia="Open Sans" w:hAnsi="Open Sans"/>
                <w:b/>
                <w:bCs/>
                <w:color w:val="F67D4B"/>
                <w:sz w:val="20"/>
                <w:szCs w:val="20"/>
              </w:rPr>
              <w:t xml:space="preserve">How This Applies to Algro: </w:t>
            </w:r>
            <w:r>
              <w:rPr>
                <w:rFonts w:ascii="Open Sans" w:cs="Open Sans" w:eastAsia="Open Sans" w:hAnsi="Open Sans"/>
                <w:color w:val="59595B"/>
                <w:sz w:val="20"/>
                <w:szCs w:val="20"/>
              </w:rPr>
              <w:t xml:space="preserve">For a thirteen-person US team across Irvine, Jersey City, and Burnaby, this is the sales-pipeline memory — every buyer conversation, every sample shipment, every audit finding, every recipe-development discussion — searchable so a buyer who surfaces eighteen months later does not start from a cold email.</w:t>
            </w:r>
          </w:p>
        </w:tc>
      </w:tr>
    </w:tbl>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Productized Services Algro Would Engage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My Dev — Custom Application Development</w:t>
            </w:r>
          </w:p>
          <w:p>
            <w:pPr>
              <w:keepNext/>
              <w:spacing w:after="60"/>
            </w:pPr>
            <w:r>
              <w:rPr>
                <w:rFonts w:ascii="Open Sans" w:cs="Open Sans" w:eastAsia="Open Sans" w:hAnsi="Open Sans"/>
                <w:b/>
                <w:bCs/>
                <w:color w:val="1EAAC8"/>
                <w:sz w:val="20"/>
                <w:szCs w:val="20"/>
              </w:rPr>
              <w:t xml:space="preserve">The Technijian Service: </w:t>
            </w:r>
            <w:r>
              <w:rPr>
                <w:rFonts w:ascii="Open Sans" w:cs="Open Sans" w:eastAsia="Open Sans" w:hAnsi="Open Sans"/>
                <w:color w:val="59595B"/>
                <w:sz w:val="20"/>
                <w:szCs w:val="20"/>
              </w:rPr>
              <w:t xml:space="preserve">My Dev is Technijian’s custom application development service, built on an AI-native development lifecycle (Claude Code, Figma Make, GitHub, and CI/CD) that ships assistants, portals, and integrations around a client’s actual process.</w:t>
            </w:r>
          </w:p>
          <w:p>
            <w:pPr>
              <w:spacing w:after="60"/>
            </w:pPr>
            <w:r>
              <w:rPr>
                <w:rFonts w:ascii="Open Sans" w:cs="Open Sans" w:eastAsia="Open Sans" w:hAnsi="Open Sans"/>
                <w:b/>
                <w:bCs/>
                <w:color w:val="F67D4B"/>
                <w:sz w:val="20"/>
                <w:szCs w:val="20"/>
              </w:rPr>
              <w:t xml:space="preserve">How This Applies to Algro: </w:t>
            </w:r>
            <w:r>
              <w:rPr>
                <w:rFonts w:ascii="Open Sans" w:cs="Open Sans" w:eastAsia="Open Sans" w:hAnsi="Open Sans"/>
                <w:color w:val="59595B"/>
                <w:sz w:val="20"/>
                <w:szCs w:val="20"/>
              </w:rPr>
              <w:t xml:space="preserve">This builds the working tools: the AI buyer-documentation and RFP-response engine, the multi-origin traceability layer, the tariff signal monitor, the buyer-side conversational layer, and the per-SKU spec automation — owned by Algro, not locked inside a third-party platform.</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My SEO — AI-Search Authority &amp; Reputation</w:t>
            </w:r>
          </w:p>
          <w:p>
            <w:pPr>
              <w:keepNext/>
              <w:spacing w:after="60"/>
            </w:pPr>
            <w:r>
              <w:rPr>
                <w:rFonts w:ascii="Open Sans" w:cs="Open Sans" w:eastAsia="Open Sans" w:hAnsi="Open Sans"/>
                <w:b/>
                <w:bCs/>
                <w:color w:val="1EAAC8"/>
                <w:sz w:val="20"/>
                <w:szCs w:val="20"/>
              </w:rPr>
              <w:t xml:space="preserve">The Technijian Service: </w:t>
            </w:r>
            <w:r>
              <w:rPr>
                <w:rFonts w:ascii="Open Sans" w:cs="Open Sans" w:eastAsia="Open Sans" w:hAnsi="Open Sans"/>
                <w:color w:val="59595B"/>
                <w:sz w:val="20"/>
                <w:szCs w:val="20"/>
              </w:rPr>
              <w:t xml:space="preserve">My SEO is Technijian’s search service: local search optimization, reputation management, and answer-engine visibility so a business is found and trusted where its buyers actually look.</w:t>
            </w:r>
          </w:p>
          <w:p>
            <w:pPr>
              <w:spacing w:after="60"/>
            </w:pPr>
            <w:r>
              <w:rPr>
                <w:rFonts w:ascii="Open Sans" w:cs="Open Sans" w:eastAsia="Open Sans" w:hAnsi="Open Sans"/>
                <w:b/>
                <w:bCs/>
                <w:color w:val="F67D4B"/>
                <w:sz w:val="20"/>
                <w:szCs w:val="20"/>
              </w:rPr>
              <w:t xml:space="preserve">How This Applies to Algro: </w:t>
            </w:r>
            <w:r>
              <w:rPr>
                <w:rFonts w:ascii="Open Sans" w:cs="Open Sans" w:eastAsia="Open Sans" w:hAnsi="Open Sans"/>
                <w:color w:val="59595B"/>
                <w:sz w:val="20"/>
                <w:szCs w:val="20"/>
              </w:rPr>
              <w:t xml:space="preserve">For Algro it owns the AI-search citations on procurement queries, drafts the under-covered category authority content on tariffs, FSMA, and multi-origin compliance, and lifts the LinkedIn cadence that signals seriousness to retail and foodservice category buyers.</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My AI Lead Gen — Named-Account ABM</w:t>
            </w:r>
          </w:p>
          <w:p>
            <w:pPr>
              <w:keepNext/>
              <w:spacing w:after="60"/>
            </w:pPr>
            <w:r>
              <w:rPr>
                <w:rFonts w:ascii="Open Sans" w:cs="Open Sans" w:eastAsia="Open Sans" w:hAnsi="Open Sans"/>
                <w:b/>
                <w:bCs/>
                <w:color w:val="1EAAC8"/>
                <w:sz w:val="20"/>
                <w:szCs w:val="20"/>
              </w:rPr>
              <w:t xml:space="preserve">The Technijian Service: </w:t>
            </w:r>
            <w:r>
              <w:rPr>
                <w:rFonts w:ascii="Open Sans" w:cs="Open Sans" w:eastAsia="Open Sans" w:hAnsi="Open Sans"/>
                <w:color w:val="59595B"/>
                <w:sz w:val="20"/>
                <w:szCs w:val="20"/>
              </w:rPr>
              <w:t xml:space="preserve">My AI Lead Gen is Technijian’s productized account-based service — it tracks named accounts, watches buyer-side triggers, and produces account dossiers and personalised outreach rather than a broad funnel.</w:t>
            </w:r>
          </w:p>
          <w:p>
            <w:pPr>
              <w:spacing w:after="60"/>
            </w:pPr>
            <w:r>
              <w:rPr>
                <w:rFonts w:ascii="Open Sans" w:cs="Open Sans" w:eastAsia="Open Sans" w:hAnsi="Open Sans"/>
                <w:b/>
                <w:bCs/>
                <w:color w:val="F67D4B"/>
                <w:sz w:val="20"/>
                <w:szCs w:val="20"/>
              </w:rPr>
              <w:t xml:space="preserve">How This Applies to Algro: </w:t>
            </w:r>
            <w:r>
              <w:rPr>
                <w:rFonts w:ascii="Open Sans" w:cs="Open Sans" w:eastAsia="Open Sans" w:hAnsi="Open Sans"/>
                <w:color w:val="59595B"/>
                <w:sz w:val="20"/>
                <w:szCs w:val="20"/>
              </w:rPr>
              <w:t xml:space="preserve">For Algro it is the named-account intelligence engine: track Costco PL, Sysco category buyers, Cava procurement, Saffron Road sourcing, and the rest of the named universe; watch for triggers (new PL launches, category buyer changes, recall events at competitors, FSVP-supplier-change postings); and deliver pre-meeting dossiers the sales team can act on.</w:t>
            </w:r>
          </w:p>
        </w:tc>
      </w:tr>
    </w:tbl>
    <w:p>
      <w:pPr>
        <w:spacing w:after="0" w:before="200"/>
      </w:pPr>
      <w:r>
        <w:t xml:space="preserve"/>
      </w:r>
    </w:p>
    <w:p>
      <w:pPr>
        <w:pStyle w:val="Heading2"/>
        <w:keepNext/>
        <w:keepLines/>
        <w:spacing w:after="120" w:before="280"/>
      </w:pPr>
      <w:r>
        <w:rPr>
          <w:rFonts w:ascii="Open Sans" w:cs="Open Sans" w:eastAsia="Open Sans" w:hAnsi="Open Sans"/>
          <w:b/>
          <w:bCs/>
          <w:color w:val="006DB6"/>
          <w:sz w:val="26"/>
          <w:szCs w:val="26"/>
        </w:rPr>
        <w:t xml:space="preserve">How We Keep AI Affordable — Seven Models, Routed by Task</w:t>
      </w:r>
    </w:p>
    <w:p>
      <w:pPr>
        <w:spacing w:after="140" w:before="0" w:line="320"/>
        <w:jc w:val="both"/>
      </w:pPr>
      <w:r>
        <w:rPr>
          <w:rFonts w:ascii="Open Sans" w:cs="Open Sans" w:eastAsia="Open Sans" w:hAnsi="Open Sans"/>
          <w:b w:val="false"/>
          <w:bCs w:val="false"/>
          <w:i w:val="false"/>
          <w:iCs w:val="false"/>
          <w:color w:val="59595B"/>
          <w:sz w:val="22"/>
          <w:szCs w:val="22"/>
        </w:rPr>
        <w:t xml:space="preserve">A fair question about running AI across content, named-account outreach, and the buyer-documentation load: won’t the token bill be enormous? Not the way Technijian builds it. We do not wire every task to one expensive model — our platform routes across roughly seven models, spanning three AI vendors and three capability tiers, and sends each sub-task to the cheapest model that can do it well.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48"/>
        <w:gridCol w:w="4752"/>
        <w:gridCol w:w="2160"/>
      </w:tblGrid>
      <w:tr>
        <w:trPr>
          <w:cantSplit/>
          <w:tblHeader/>
        </w:trPr>
        <w:tc>
          <w:tcPr>
            <w:tcW w:type="dxa" w:w="2448"/>
            <w:tcBorders>
              <w:top w:val="single" w:color="E9ECEF" w:sz="4"/>
              <w:left w:val="single" w:color="E9ECEF" w:sz="4"/>
              <w:bottom w:val="single" w:color="E9ECEF" w:sz="4"/>
              <w:right w:val="single" w:color="E9ECEF" w:sz="4"/>
            </w:tcBorders>
            <w:shd w:fill="1A1A2E"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Tier</w:t>
            </w:r>
          </w:p>
        </w:tc>
        <w:tc>
          <w:tcPr>
            <w:tcW w:type="dxa" w:w="4752"/>
            <w:tcBorders>
              <w:top w:val="single" w:color="E9ECEF" w:sz="4"/>
              <w:left w:val="single" w:color="E9ECEF" w:sz="4"/>
              <w:bottom w:val="single" w:color="E9ECEF" w:sz="4"/>
              <w:right w:val="single" w:color="E9ECEF" w:sz="4"/>
            </w:tcBorders>
            <w:shd w:fill="1A1A2E"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It Does</w:t>
            </w:r>
          </w:p>
        </w:tc>
        <w:tc>
          <w:tcPr>
            <w:tcW w:type="dxa" w:w="2160"/>
            <w:tcBorders>
              <w:top w:val="single" w:color="E9ECEF" w:sz="4"/>
              <w:left w:val="single" w:color="E9ECEF" w:sz="4"/>
              <w:bottom w:val="single" w:color="E9ECEF" w:sz="4"/>
              <w:right w:val="single" w:color="E9ECEF" w:sz="4"/>
            </w:tcBorders>
            <w:shd w:fill="1A1A2E"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Share of Work</w:t>
            </w:r>
          </w:p>
        </w:tc>
      </w:tr>
      <w:tr>
        <w:trPr>
          <w:cantSplit/>
        </w:trPr>
        <w:tc>
          <w:tcPr>
            <w:tcW w:type="dxa" w:w="244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Frontier (premium)</w:t>
            </w:r>
          </w:p>
        </w:tc>
        <w:tc>
          <w:tcPr>
            <w:tcW w:type="dxa" w:w="47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hardest judgment only — final brand-voice pass, compliance-bound answers a buyer audit will read, the deepest reasoning</w:t>
            </w:r>
          </w:p>
        </w:tc>
        <w:tc>
          <w:tcPr>
            <w:tcW w:type="dxa" w:w="21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bCs/>
                <w:color w:val="006DB6"/>
                <w:sz w:val="20"/>
                <w:szCs w:val="20"/>
              </w:rPr>
              <w:t xml:space="preserve">~5–10%</w:t>
            </w:r>
          </w:p>
        </w:tc>
      </w:tr>
      <w:tr>
        <w:trPr>
          <w:cantSplit/>
        </w:trPr>
        <w:tc>
          <w:tcPr>
            <w:tcW w:type="dxa" w:w="244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Workhorse (balanced)</w:t>
            </w:r>
          </w:p>
        </w:tc>
        <w:tc>
          <w:tcPr>
            <w:tcW w:type="dxa" w:w="47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bulk of drafting and reasoning — RFP response drafts, category content, outreach personalization, summarization, scoring</w:t>
            </w:r>
          </w:p>
        </w:tc>
        <w:tc>
          <w:tcPr>
            <w:tcW w:type="dxa" w:w="216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1EAAC8"/>
                <w:sz w:val="20"/>
                <w:szCs w:val="20"/>
              </w:rPr>
              <w:t xml:space="preserve">~30–40%</w:t>
            </w:r>
          </w:p>
        </w:tc>
      </w:tr>
      <w:tr>
        <w:trPr>
          <w:cantSplit/>
        </w:trPr>
        <w:tc>
          <w:tcPr>
            <w:tcW w:type="dxa" w:w="244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Lightweight (low-cost)</w:t>
            </w:r>
          </w:p>
        </w:tc>
        <w:tc>
          <w:tcPr>
            <w:tcW w:type="dxa" w:w="47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High-volume mechanical work — extracting from certificates and COAs, classifying and tagging thousands of documents, enrichment</w:t>
            </w:r>
          </w:p>
        </w:tc>
        <w:tc>
          <w:tcPr>
            <w:tcW w:type="dxa" w:w="21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~50–60%</w:t>
            </w:r>
          </w:p>
        </w:tc>
      </w:tr>
    </w:tbl>
    <w:p>
      <w:pPr>
        <w:spacing w:after="140" w:before="80" w:line="320"/>
        <w:jc w:val="both"/>
      </w:pPr>
      <w:r>
        <w:rPr>
          <w:rFonts w:ascii="Open Sans" w:cs="Open Sans" w:eastAsia="Open Sans" w:hAnsi="Open Sans"/>
          <w:b w:val="false"/>
          <w:bCs w:val="false"/>
          <w:i w:val="false"/>
          <w:iCs w:val="false"/>
          <w:color w:val="59595B"/>
          <w:sz w:val="22"/>
          <w:szCs w:val="22"/>
        </w:rPr>
        <w:t xml:space="preserve">The result: Algro pays premium-model prices only for the small slice of work that warrants them — typically a 60–80% lower run cost than routing everything to one top-tier model, with no quality loss where it counts. For example, an RFP response is extracted by a low-cost model, drafted and tightened by a mid model, and given a final accuracy-and-format pass by a frontier model — instead of one premium model doing all three at roughly triple the cost. Where the answer is compliance-bound, a multi-model council (the ScamShield pattern above) cross-checks it before it is sent. This is the kind of AI engineering depth a partner brings that wiring everything to one chatbot does not.</w:t>
      </w:r>
    </w:p>
    <w:p>
      <w:pPr>
        <w:pStyle w:val="Heading1"/>
        <w:keepNext/>
        <w:pageBreakBefore/>
        <w:spacing w:after="120" w:before="0" w:line="240"/>
      </w:pPr>
      <w:r>
        <w:rPr>
          <w:rFonts w:ascii="Open Sans" w:cs="Open Sans" w:eastAsia="Open Sans" w:hAnsi="Open Sans"/>
          <w:color w:val="FFFFFF"/>
          <w:sz w:val="2"/>
          <w:szCs w:val="2"/>
        </w:rPr>
        <w:t xml:space="preserve">10  Understanding AI — A Field Guide for Algro International Leadership</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10  Understanding AI — A Field Guide for Algro International Leadership</w:t>
            </w:r>
          </w:p>
        </w:tc>
      </w:tr>
    </w:tbl>
    <w:p>
      <w:pPr>
        <w:spacing w:after="0" w:before="14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This section exists to make the rest of this report easy to evaluate. No jargon, no hype — just what AI is, where Algro sits today, how to adopt it without risk, and what comparable organizations are already doing. The goal is that Deepak, Sinem, and the Algro team can judge every recommendation that follows on its merits.</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What AI Actually Is — and Isn’t</w:t>
      </w:r>
    </w:p>
    <w:p>
      <w:pPr>
        <w:spacing w:after="140" w:before="0" w:line="320"/>
        <w:jc w:val="both"/>
      </w:pPr>
      <w:r>
        <w:rPr>
          <w:rFonts w:ascii="Open Sans" w:cs="Open Sans" w:eastAsia="Open Sans" w:hAnsi="Open Sans"/>
          <w:b w:val="false"/>
          <w:bCs w:val="false"/>
          <w:i w:val="false"/>
          <w:iCs w:val="false"/>
          <w:color w:val="59595B"/>
          <w:sz w:val="22"/>
          <w:szCs w:val="22"/>
        </w:rPr>
        <w:t xml:space="preserve">As MIT Sloan puts it, a leader needs to know what AI can and cannot do — not how to build it. In practice, the only distinction that matters for planning is this:</w:t>
      </w:r>
    </w:p>
    <w:p>
      <w:pPr>
        <w:pStyle w:val="ListParagraph"/>
        <w:numPr>
          <w:ilvl w:val="0"/>
          <w:numId w:val="2"/>
        </w:numPr>
        <w:spacing w:after="80" w:before="40" w:line="300"/>
      </w:pPr>
      <w:r>
        <w:rPr>
          <w:rFonts w:ascii="Open Sans" w:cs="Open Sans" w:eastAsia="Open Sans" w:hAnsi="Open Sans"/>
          <w:color w:val="59595B"/>
          <w:sz w:val="22"/>
          <w:szCs w:val="22"/>
        </w:rPr>
        <w:t xml:space="preserve">Automation (workflows): the AI follows a path you define — predictable and low-risk. For example, “draft this buyer’s RFP response from our indexed certification library.” This is where almost all near-term value lives.</w:t>
      </w:r>
    </w:p>
    <w:p>
      <w:pPr>
        <w:pStyle w:val="ListParagraph"/>
        <w:numPr>
          <w:ilvl w:val="0"/>
          <w:numId w:val="2"/>
        </w:numPr>
        <w:spacing w:after="80" w:before="40" w:line="300"/>
      </w:pPr>
      <w:r>
        <w:rPr>
          <w:rFonts w:ascii="Open Sans" w:cs="Open Sans" w:eastAsia="Open Sans" w:hAnsi="Open Sans"/>
          <w:color w:val="59595B"/>
          <w:sz w:val="22"/>
          <w:szCs w:val="22"/>
        </w:rPr>
        <w:t xml:space="preserve">Agents: the AI decides the steps itself — more flexible, and it needs human oversight. For example, “watch the tariff signal and flag which accounts need a re-priced origin-mix proposal.” This comes later, where it earns its place.</w:t>
      </w:r>
    </w:p>
    <w:p>
      <w:pPr>
        <w:spacing w:after="140" w:before="0" w:line="320"/>
        <w:jc w:val="both"/>
      </w:pPr>
      <w:r>
        <w:rPr>
          <w:rFonts w:ascii="Open Sans" w:cs="Open Sans" w:eastAsia="Open Sans" w:hAnsi="Open Sans"/>
          <w:b w:val="false"/>
          <w:bCs w:val="false"/>
          <w:i w:val="false"/>
          <w:iCs w:val="false"/>
          <w:color w:val="59595B"/>
          <w:sz w:val="22"/>
          <w:szCs w:val="22"/>
        </w:rPr>
        <w:t xml:space="preserve">The operating principle (Anthropic’s guidance on building AI systems) is to use the simplest thing that works. Algro starts with simple automations that pay off in the first ninety days — the AEO authority and the documentation engine — and adds autonomous agents only where the value is proven, which is exactly how the roadmap in this report is sequenced.</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Where Algro Sits Today — The AI Maturity Ladder</w:t>
      </w:r>
    </w:p>
    <w:p>
      <w:pPr>
        <w:spacing w:after="140" w:before="0" w:line="320"/>
        <w:jc w:val="both"/>
      </w:pPr>
      <w:r>
        <w:rPr>
          <w:rFonts w:ascii="Open Sans" w:cs="Open Sans" w:eastAsia="Open Sans" w:hAnsi="Open Sans"/>
          <w:b w:val="false"/>
          <w:bCs w:val="false"/>
          <w:i w:val="false"/>
          <w:iCs w:val="false"/>
          <w:color w:val="59595B"/>
          <w:sz w:val="22"/>
          <w:szCs w:val="22"/>
        </w:rPr>
        <w:t xml:space="preserve">Most established, well-run companies — including Algro — sit at the first or second rung of a widely-used five-stage AI maturity model (consistent with Gartner and Google Cloud frameworks). The leaders in any field are only one or two rungs higher, and the gap closes in months, not years.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39"/>
        <w:gridCol w:w="5348"/>
        <w:gridCol w:w="1873"/>
      </w:tblGrid>
      <w:tr>
        <w:trPr>
          <w:cantSplit/>
          <w:tblHeader/>
        </w:trPr>
        <w:tc>
          <w:tcPr>
            <w:tcW w:type="dxa" w:w="2139"/>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Stage</w:t>
            </w:r>
          </w:p>
        </w:tc>
        <w:tc>
          <w:tcPr>
            <w:tcW w:type="dxa" w:w="534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It Looks Like</w:t>
            </w:r>
          </w:p>
        </w:tc>
        <w:tc>
          <w:tcPr>
            <w:tcW w:type="dxa" w:w="1873"/>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Algro Today</w:t>
            </w:r>
          </w:p>
        </w:tc>
      </w:tr>
      <w:tr>
        <w:trPr>
          <w:cantSplit/>
        </w:trPr>
        <w:tc>
          <w:tcPr>
            <w:tcW w:type="dxa" w:w="213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 Foundational</w:t>
            </w:r>
          </w:p>
        </w:tc>
        <w:tc>
          <w:tcPr>
            <w:tcW w:type="dxa" w:w="534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Little or no AI; manual, people-dependent documentation and outreach</w:t>
            </w:r>
          </w:p>
        </w:tc>
        <w:tc>
          <w:tcPr>
            <w:tcW w:type="dxa" w:w="187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006DB6"/>
                <w:sz w:val="20"/>
                <w:szCs w:val="20"/>
              </w:rPr>
              <w:t xml:space="preserve"/>
            </w:r>
          </w:p>
        </w:tc>
      </w:tr>
      <w:tr>
        <w:trPr>
          <w:cantSplit/>
        </w:trPr>
        <w:tc>
          <w:tcPr>
            <w:tcW w:type="dxa" w:w="213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2. Emerging</w:t>
            </w:r>
          </w:p>
        </w:tc>
        <w:tc>
          <w:tcPr>
            <w:tcW w:type="dxa" w:w="534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An existing Technijian security relationship and clean systems, but AI is not yet woven into the buyer-side growth or documentation work</w:t>
            </w:r>
          </w:p>
        </w:tc>
        <w:tc>
          <w:tcPr>
            <w:tcW w:type="dxa" w:w="187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bCs/>
                <w:color w:val="F67D4B"/>
                <w:sz w:val="20"/>
                <w:szCs w:val="20"/>
              </w:rPr>
              <w:t xml:space="preserve">◀ You are here</w:t>
            </w:r>
          </w:p>
        </w:tc>
      </w:tr>
      <w:tr>
        <w:trPr>
          <w:cantSplit/>
        </w:trPr>
        <w:tc>
          <w:tcPr>
            <w:tcW w:type="dxa" w:w="213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3. Operational</w:t>
            </w:r>
          </w:p>
        </w:tc>
        <w:tc>
          <w:tcPr>
            <w:tcW w:type="dxa" w:w="534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runs specific workflows day-to-day — AEO authority, RFP drafting, tariff signal — with measured results</w:t>
            </w:r>
          </w:p>
        </w:tc>
        <w:tc>
          <w:tcPr>
            <w:tcW w:type="dxa" w:w="187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
            </w:r>
          </w:p>
        </w:tc>
      </w:tr>
      <w:tr>
        <w:trPr>
          <w:cantSplit/>
        </w:trPr>
        <w:tc>
          <w:tcPr>
            <w:tcW w:type="dxa" w:w="213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4. Scaled</w:t>
            </w:r>
          </w:p>
        </w:tc>
        <w:tc>
          <w:tcPr>
            <w:tcW w:type="dxa" w:w="534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is embedded across growth and the documentation engine with governance and dashboards</w:t>
            </w:r>
          </w:p>
        </w:tc>
        <w:tc>
          <w:tcPr>
            <w:tcW w:type="dxa" w:w="187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
            </w:r>
          </w:p>
        </w:tc>
      </w:tr>
      <w:tr>
        <w:trPr>
          <w:cantSplit/>
        </w:trPr>
        <w:tc>
          <w:tcPr>
            <w:tcW w:type="dxa" w:w="213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5. Transformational</w:t>
            </w:r>
          </w:p>
        </w:tc>
        <w:tc>
          <w:tcPr>
            <w:tcW w:type="dxa" w:w="534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is the default way the buyer-experience runs and competes</w:t>
            </w:r>
          </w:p>
        </w:tc>
        <w:tc>
          <w:tcPr>
            <w:tcW w:type="dxa" w:w="187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
            </w:r>
          </w:p>
        </w:tc>
      </w:tr>
    </w:tbl>
    <w:p>
      <w:pPr>
        <w:spacing w:after="140" w:before="80" w:line="320"/>
        <w:jc w:val="both"/>
      </w:pPr>
      <w:r>
        <w:rPr>
          <w:rFonts w:ascii="Open Sans" w:cs="Open Sans" w:eastAsia="Open Sans" w:hAnsi="Open Sans"/>
          <w:b w:val="false"/>
          <w:bCs w:val="false"/>
          <w:i w:val="false"/>
          <w:iCs w:val="false"/>
          <w:color w:val="59595B"/>
          <w:sz w:val="22"/>
          <w:szCs w:val="22"/>
        </w:rPr>
        <w:t xml:space="preserve">Algro is well-positioned: the systems are clean and a security relationship is already in place, which puts it at the Emerging stage. This report is the plan to reach Operational — AI working in the growth engine and inside the buyer-documentation workflow — within the first program year.</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Adopting AI Responsibly — Three Risks Every Leader Manages</w:t>
      </w:r>
    </w:p>
    <w:p>
      <w:pPr>
        <w:spacing w:after="140" w:before="0" w:line="320"/>
        <w:jc w:val="both"/>
      </w:pPr>
      <w:r>
        <w:rPr>
          <w:rFonts w:ascii="Open Sans" w:cs="Open Sans" w:eastAsia="Open Sans" w:hAnsi="Open Sans"/>
          <w:b w:val="false"/>
          <w:bCs w:val="false"/>
          <w:i w:val="false"/>
          <w:iCs w:val="false"/>
          <w:color w:val="59595B"/>
          <w:sz w:val="22"/>
          <w:szCs w:val="22"/>
        </w:rPr>
        <w:t xml:space="preserve">The U.S. government’s NIST AI Risk Management Framework gives leaders a simple mental model — Govern, Map, Measure, Manage. For a regulated, audit-heavy operator like Algro, three risks matter most, and each has a concrete control: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9"/>
        <w:gridCol w:w="3700"/>
        <w:gridCol w:w="3701"/>
      </w:tblGrid>
      <w:tr>
        <w:trPr>
          <w:cantSplit/>
          <w:tblHeader/>
        </w:trPr>
        <w:tc>
          <w:tcPr>
            <w:tcW w:type="dxa" w:w="1959"/>
            <w:tcBorders>
              <w:top w:val="single" w:color="E9ECEF" w:sz="4"/>
              <w:left w:val="single" w:color="E9ECEF" w:sz="4"/>
              <w:bottom w:val="single" w:color="E9ECEF" w:sz="4"/>
              <w:right w:val="single" w:color="E9ECEF" w:sz="4"/>
            </w:tcBorders>
            <w:shd w:fill="1A1A2E"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Risk</w:t>
            </w:r>
          </w:p>
        </w:tc>
        <w:tc>
          <w:tcPr>
            <w:tcW w:type="dxa" w:w="3700"/>
            <w:tcBorders>
              <w:top w:val="single" w:color="E9ECEF" w:sz="4"/>
              <w:left w:val="single" w:color="E9ECEF" w:sz="4"/>
              <w:bottom w:val="single" w:color="E9ECEF" w:sz="4"/>
              <w:right w:val="single" w:color="E9ECEF" w:sz="4"/>
            </w:tcBorders>
            <w:shd w:fill="1A1A2E"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It Means</w:t>
            </w:r>
          </w:p>
        </w:tc>
        <w:tc>
          <w:tcPr>
            <w:tcW w:type="dxa" w:w="3701"/>
            <w:tcBorders>
              <w:top w:val="single" w:color="E9ECEF" w:sz="4"/>
              <w:left w:val="single" w:color="E9ECEF" w:sz="4"/>
              <w:bottom w:val="single" w:color="E9ECEF" w:sz="4"/>
              <w:right w:val="single" w:color="E9ECEF" w:sz="4"/>
            </w:tcBorders>
            <w:shd w:fill="1A1A2E"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How Technijian Controls It</w:t>
            </w:r>
          </w:p>
        </w:tc>
      </w:tr>
      <w:tr>
        <w:trPr>
          <w:cantSplit/>
        </w:trPr>
        <w:tc>
          <w:tcPr>
            <w:tcW w:type="dxa" w:w="195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Hallucination</w:t>
            </w:r>
          </w:p>
        </w:tc>
        <w:tc>
          <w:tcPr>
            <w:tcW w:type="dxa" w:w="370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can state a confident, wrong answer</w:t>
            </w:r>
          </w:p>
        </w:tc>
        <w:tc>
          <w:tcPr>
            <w:tcW w:type="dxa" w:w="370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Human-in-the-loop review on anything buyer-facing or compliance-bound — AI drafts, a person approves; the GFSI / food-safety determination is never the AI’s to make</w:t>
            </w:r>
          </w:p>
        </w:tc>
      </w:tr>
      <w:tr>
        <w:trPr>
          <w:cantSplit/>
        </w:trPr>
        <w:tc>
          <w:tcPr>
            <w:tcW w:type="dxa" w:w="195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Data leakage</w:t>
            </w:r>
          </w:p>
        </w:tc>
        <w:tc>
          <w:tcPr>
            <w:tcW w:type="dxa" w:w="370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Sensitive data pasted into public tools can escape</w:t>
            </w:r>
          </w:p>
        </w:tc>
        <w:tc>
          <w:tcPr>
            <w:tcW w:type="dxa" w:w="370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Private, governed AI deployments — FSVP plans, lot COAs, buyer pricing, and certificate libraries never touch a public model</w:t>
            </w:r>
          </w:p>
        </w:tc>
      </w:tr>
      <w:tr>
        <w:trPr>
          <w:cantSplit/>
        </w:trPr>
        <w:tc>
          <w:tcPr>
            <w:tcW w:type="dxa" w:w="195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Compliance &amp; accountability</w:t>
            </w:r>
          </w:p>
        </w:tc>
        <w:tc>
          <w:tcPr>
            <w:tcW w:type="dxa" w:w="370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Untracked AI tools create audit gaps</w:t>
            </w:r>
          </w:p>
        </w:tc>
        <w:tc>
          <w:tcPr>
            <w:tcW w:type="dxa" w:w="370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Every AI tool inventoried with owner, vendor, and data source — FSMA / FSVP / NOP-ready, led by a CISSP-certified team</w:t>
            </w:r>
          </w:p>
        </w:tc>
      </w:tr>
    </w:tbl>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What Comparable Organizations Are Already Doing</w:t>
      </w:r>
    </w:p>
    <w:p>
      <w:pPr>
        <w:pStyle w:val="ListParagraph"/>
        <w:numPr>
          <w:ilvl w:val="0"/>
          <w:numId w:val="2"/>
        </w:numPr>
        <w:spacing w:after="80" w:before="40" w:line="300"/>
      </w:pPr>
      <w:r>
        <w:rPr>
          <w:rFonts w:ascii="Open Sans" w:cs="Open Sans" w:eastAsia="Open Sans" w:hAnsi="Open Sans"/>
          <w:color w:val="59595B"/>
          <w:sz w:val="22"/>
          <w:szCs w:val="22"/>
        </w:rPr>
        <w:t xml:space="preserve">Regulated B2B suppliers: document-heavy businesses are turning multi-day RFP and compliance assembly into a minutes-long, audit-ready draft — responding to more opportunities with the same team.</w:t>
      </w:r>
    </w:p>
    <w:p>
      <w:pPr>
        <w:pStyle w:val="ListParagraph"/>
        <w:numPr>
          <w:ilvl w:val="0"/>
          <w:numId w:val="2"/>
        </w:numPr>
        <w:spacing w:after="80" w:before="40" w:line="300"/>
      </w:pPr>
      <w:r>
        <w:rPr>
          <w:rFonts w:ascii="Open Sans" w:cs="Open Sans" w:eastAsia="Open Sans" w:hAnsi="Open Sans"/>
          <w:color w:val="59595B"/>
          <w:sz w:val="22"/>
          <w:szCs w:val="22"/>
        </w:rPr>
        <w:t xml:space="preserve">Food and ingredient importers: multi-origin operators are using AI to maintain a digital chain of custody and answer buyer audits same-day instead of over multiple rounds.</w:t>
      </w:r>
    </w:p>
    <w:p>
      <w:pPr>
        <w:pStyle w:val="ListParagraph"/>
        <w:numPr>
          <w:ilvl w:val="0"/>
          <w:numId w:val="2"/>
        </w:numPr>
        <w:spacing w:after="80" w:before="40" w:line="300"/>
      </w:pPr>
      <w:r>
        <w:rPr>
          <w:rFonts w:ascii="Open Sans" w:cs="Open Sans" w:eastAsia="Open Sans" w:hAnsi="Open Sans"/>
          <w:color w:val="59595B"/>
          <w:sz w:val="22"/>
          <w:szCs w:val="22"/>
        </w:rPr>
        <w:t xml:space="preserve">Specialty manufacturers: under-covered category players are using AI-search optimization to become the cited answer when buyers ask AI tools “who supplies this, certified, at this origin?” — capturing demand competitors never see.</w:t>
      </w:r>
    </w:p>
    <w:p>
      <w:pPr>
        <w:spacing w:after="140" w:before="40" w:line="320"/>
        <w:jc w:val="both"/>
      </w:pPr>
      <w:r>
        <w:rPr>
          <w:rFonts w:ascii="Open Sans" w:cs="Open Sans" w:eastAsia="Open Sans" w:hAnsi="Open Sans"/>
          <w:b w:val="false"/>
          <w:bCs w:val="false"/>
          <w:i/>
          <w:iCs/>
          <w:color w:val="59595B"/>
          <w:sz w:val="19"/>
          <w:szCs w:val="19"/>
        </w:rPr>
        <w:t xml:space="preserve">These are representative directions of travel across comparable industries, not guarantees; Algro’s own numbers would be confirmed in discovery. Technijian’s specific, measured results from prior builds appear in Section 9 (Capability Proof) and the operational sections of this report.</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A Day in the Life — An Algro Sales &amp; Quality Coordinator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Before vs. After AI</w:t>
            </w:r>
          </w:p>
          <w:p>
            <w:pPr>
              <w:keepNext/>
              <w:keepLines/>
              <w:spacing w:after="60" w:before="40" w:line="300"/>
            </w:pPr>
            <w:r>
              <w:rPr>
                <w:rFonts w:ascii="Open Sans" w:cs="Open Sans" w:eastAsia="Open Sans" w:hAnsi="Open Sans"/>
                <w:color w:val="59595B"/>
                <w:sz w:val="20"/>
                <w:szCs w:val="20"/>
              </w:rPr>
              <w:t xml:space="preserve">TODAY: A coordinator receives a 120-question retail RFP, opens a shared drive, hunts for the current FSVP plan, the right lot COAs, the NOP and kosher and halal letters, and last quarter’s prior response, and re-keys each answer into the buyer’s exact template by hand — across India, Thai, and US-domestic origins, mostly from process held in a few people’s heads.</w:t>
            </w:r>
          </w:p>
          <w:p>
            <w:pPr>
              <w:keepNext w:val="false"/>
              <w:keepLines/>
              <w:spacing w:after="60" w:before="40" w:line="300"/>
            </w:pPr>
            <w:r>
              <w:rPr>
                <w:rFonts w:ascii="Open Sans" w:cs="Open Sans" w:eastAsia="Open Sans" w:hAnsi="Open Sans"/>
                <w:color w:val="59595B"/>
                <w:sz w:val="20"/>
                <w:szCs w:val="20"/>
              </w:rPr>
              <w:t xml:space="preserve">WITH AI: The RFP is auto-drafted in the buyer’s format from an indexed library of every certificate, plan, and prior response in minutes; the coordinator reviews, corrects, and approves. The expertise is captured in a system, so the same complete, in-format answer holds for every account and survives a new hire or a second facility.</w:t>
            </w:r>
          </w:p>
        </w:tc>
      </w:tr>
    </w:tbl>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Why a Partner — vs. Hiring or Doing It Yourself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69"/>
        <w:gridCol w:w="7091"/>
      </w:tblGrid>
      <w:tr>
        <w:trPr>
          <w:cantSplit/>
          <w:tblHeader/>
        </w:trPr>
        <w:tc>
          <w:tcPr>
            <w:tcW w:type="dxa" w:w="2269"/>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Path</w:t>
            </w:r>
          </w:p>
        </w:tc>
        <w:tc>
          <w:tcPr>
            <w:tcW w:type="dxa" w:w="7091"/>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Reality</w:t>
            </w:r>
          </w:p>
        </w:tc>
      </w:tr>
      <w:tr>
        <w:trPr>
          <w:cantSplit/>
        </w:trPr>
        <w:tc>
          <w:tcPr>
            <w:tcW w:type="dxa" w:w="226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DIY tools</w:t>
            </w:r>
          </w:p>
        </w:tc>
        <w:tc>
          <w:tcPr>
            <w:tcW w:type="dxa" w:w="709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Inexpensive, but Algro assembles, secures, and governs everything — and owns the three risks above alone</w:t>
            </w:r>
          </w:p>
        </w:tc>
      </w:tr>
      <w:tr>
        <w:trPr>
          <w:cantSplit/>
        </w:trPr>
        <w:tc>
          <w:tcPr>
            <w:tcW w:type="dxa" w:w="226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Hire in-house</w:t>
            </w:r>
          </w:p>
        </w:tc>
        <w:tc>
          <w:tcPr>
            <w:tcW w:type="dxa" w:w="709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capable AI leader typically costs $180K+/year and is scarce, and one person cannot cover strategy, build, security, and governance</w:t>
            </w:r>
          </w:p>
        </w:tc>
      </w:tr>
      <w:tr>
        <w:trPr>
          <w:cantSplit/>
        </w:trPr>
        <w:tc>
          <w:tcPr>
            <w:tcW w:type="dxa" w:w="226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Partner (Technijian)</w:t>
            </w:r>
          </w:p>
        </w:tc>
        <w:tc>
          <w:tcPr>
            <w:tcW w:type="dxa" w:w="709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Strategy, build, security, and governance in one team at a fraction of a hire — with proven builds, an existing Algro security relationship, and CISSP-led security</w:t>
            </w:r>
          </w:p>
        </w:tc>
      </w:tr>
    </w:tbl>
    <w:p>
      <w:pPr>
        <w:spacing w:after="140" w:before="100" w:line="320"/>
        <w:jc w:val="both"/>
      </w:pPr>
      <w:r>
        <w:rPr>
          <w:rFonts w:ascii="Open Sans" w:cs="Open Sans" w:eastAsia="Open Sans" w:hAnsi="Open Sans"/>
          <w:b w:val="false"/>
          <w:bCs w:val="false"/>
          <w:i/>
          <w:iCs/>
          <w:color w:val="59595B"/>
          <w:sz w:val="18"/>
          <w:szCs w:val="18"/>
        </w:rPr>
        <w:t xml:space="preserve">Sources cited in this section: MIT Sloan Management (AI literacy); Anthropic (AI system design); a widely-used five-stage AI maturity model (consistent with Gartner and Google Cloud frameworks); U.S. NIST AI Risk Management Framework. Full references in the Appendix.</w:t>
      </w:r>
    </w:p>
    <w:p>
      <w:pPr>
        <w:pStyle w:val="Heading1"/>
        <w:keepNext/>
        <w:pageBreakBefore/>
        <w:spacing w:after="120" w:before="0" w:line="240"/>
      </w:pPr>
      <w:r>
        <w:rPr>
          <w:rFonts w:ascii="Open Sans" w:cs="Open Sans" w:eastAsia="Open Sans" w:hAnsi="Open Sans"/>
          <w:color w:val="FFFFFF"/>
          <w:sz w:val="2"/>
          <w:szCs w:val="2"/>
        </w:rPr>
        <w:t xml:space="preserve">11  How AI Transforms Algro’s Growth Engine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11  How AI Transforms Algro’s Growth Engine</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engine runs three motions at once: get cited and discovered (own AI-search authority on procurement queries and the under-covered tariff, FSMA, and multi-origin compliance conversation), win the documentation race (auto-draft RFP responses, index the certification library, run multi-origin traceability, watch the tariff signal), and hold the account and expand (sales-pipeline memory, per-SKU automation, account-renewal intelligence, and reuse of the same engine for Simply So and BIEL exports). The first fills the top of the named-account funnel, the second is the documentation core, and the third protects and scales the order book.</w:t>
      </w:r>
    </w:p>
    <w:p>
      <w:pPr>
        <w:spacing w:after="0" w:before="160"/>
      </w:pPr>
      <w:r>
        <w:t xml:space="preserve"/>
      </w:r>
    </w:p>
    <w:p>
      <w:pPr>
        <w:spacing w:after="80" w:before="120"/>
        <w:jc w:val="center"/>
      </w:pPr>
      <w:r>
        <w:drawing>
          <wp:inline distT="0" distB="0" distL="0" distR="0">
            <wp:extent cx="5715000" cy="3552825"/>
            <wp:effectExtent t="0" r="0" b="0" l="0"/>
            <wp:docPr id="1" name="The Algro AI Growth Engine" descr="The Algro AI Growth Engine" title="The Algro AI Growth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52825"/>
                    </a:xfrm>
                    <a:prstGeom prst="rect">
                      <a:avLst/>
                    </a:prstGeom>
                  </pic:spPr>
                </pic:pic>
              </a:graphicData>
            </a:graphic>
          </wp:inline>
        </w:drawing>
      </w:r>
    </w:p>
    <w:p>
      <w:pPr>
        <w:spacing w:after="240" w:before="0"/>
        <w:jc w:val="center"/>
      </w:pPr>
      <w:r>
        <w:rPr>
          <w:rFonts w:ascii="Open Sans" w:cs="Open Sans" w:eastAsia="Open Sans" w:hAnsi="Open Sans"/>
          <w:i/>
          <w:iCs/>
          <w:color w:val="59595B"/>
          <w:sz w:val="18"/>
          <w:szCs w:val="18"/>
        </w:rPr>
        <w:t xml:space="preserve">Figure 10.0 — The Engine: Get Cited &amp; Discovered, Win the Documentation Race, and Hold &amp; Expand</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51"/>
        <w:gridCol w:w="2202"/>
        <w:gridCol w:w="2752"/>
        <w:gridCol w:w="1376"/>
        <w:gridCol w:w="1379"/>
      </w:tblGrid>
      <w:tr>
        <w:trPr>
          <w:cantSplit/>
          <w:tblHeader/>
        </w:trPr>
        <w:tc>
          <w:tcPr>
            <w:tcW w:type="dxa" w:w="1651"/>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Motion</w:t>
            </w:r>
          </w:p>
        </w:tc>
        <w:tc>
          <w:tcPr>
            <w:tcW w:type="dxa" w:w="220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Tool</w:t>
            </w:r>
          </w:p>
        </w:tc>
        <w:tc>
          <w:tcPr>
            <w:tcW w:type="dxa" w:w="275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It Does</w:t>
            </w:r>
          </w:p>
        </w:tc>
        <w:tc>
          <w:tcPr>
            <w:tcW w:type="dxa" w:w="137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Metric</w:t>
            </w:r>
          </w:p>
        </w:tc>
        <w:tc>
          <w:tcPr>
            <w:tcW w:type="dxa" w:w="1379"/>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Technijian Service</w:t>
            </w:r>
          </w:p>
        </w:tc>
      </w:tr>
      <w:tr>
        <w:trPr>
          <w:cantSplit/>
        </w:trPr>
        <w:tc>
          <w:tcPr>
            <w:tcW w:type="dxa" w:w="165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Get Cited &amp; Discovered</w:t>
            </w:r>
          </w:p>
        </w:tc>
        <w:tc>
          <w:tcPr>
            <w:tcW w:type="dxa" w:w="220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AI-search authority (AEO)</w:t>
            </w:r>
          </w:p>
        </w:tc>
        <w:tc>
          <w:tcPr>
            <w:tcW w:type="dxa" w:w="27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Be cited by Google AI, ChatGPT, Perplexity on procurement queries</w:t>
            </w:r>
          </w:p>
        </w:tc>
        <w:tc>
          <w:tcPr>
            <w:tcW w:type="dxa" w:w="137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AI-citation rate</w:t>
            </w:r>
          </w:p>
        </w:tc>
        <w:tc>
          <w:tcPr>
            <w:tcW w:type="dxa" w:w="137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w:t>
            </w:r>
          </w:p>
        </w:tc>
      </w:tr>
      <w:tr>
        <w:trPr>
          <w:cantSplit/>
        </w:trPr>
        <w:tc>
          <w:tcPr>
            <w:tcW w:type="dxa" w:w="165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Get Cited &amp; Discovered</w:t>
            </w:r>
          </w:p>
        </w:tc>
        <w:tc>
          <w:tcPr>
            <w:tcW w:type="dxa" w:w="220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Category thought leadership</w:t>
            </w:r>
          </w:p>
        </w:tc>
        <w:tc>
          <w:tcPr>
            <w:tcW w:type="dxa" w:w="27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Tariff, FSMA 204, NOP multi-origin — the under-covered topics</w:t>
            </w:r>
          </w:p>
        </w:tc>
        <w:tc>
          <w:tcPr>
            <w:tcW w:type="dxa" w:w="137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Content authority</w:t>
            </w:r>
          </w:p>
        </w:tc>
        <w:tc>
          <w:tcPr>
            <w:tcW w:type="dxa" w:w="137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w:t>
            </w:r>
          </w:p>
        </w:tc>
      </w:tr>
      <w:tr>
        <w:trPr>
          <w:cantSplit/>
        </w:trPr>
        <w:tc>
          <w:tcPr>
            <w:tcW w:type="dxa" w:w="165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Get Cited &amp; Discovered</w:t>
            </w:r>
          </w:p>
        </w:tc>
        <w:tc>
          <w:tcPr>
            <w:tcW w:type="dxa" w:w="220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Named-account ABM intelligence</w:t>
            </w:r>
          </w:p>
        </w:tc>
        <w:tc>
          <w:tcPr>
            <w:tcW w:type="dxa" w:w="27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Track retail PL, foodservice, industrial CPG named accounts</w:t>
            </w:r>
          </w:p>
        </w:tc>
        <w:tc>
          <w:tcPr>
            <w:tcW w:type="dxa" w:w="137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Pipeline coverage</w:t>
            </w:r>
          </w:p>
        </w:tc>
        <w:tc>
          <w:tcPr>
            <w:tcW w:type="dxa" w:w="137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Lead Gen</w:t>
            </w:r>
          </w:p>
        </w:tc>
      </w:tr>
      <w:tr>
        <w:trPr>
          <w:cantSplit/>
        </w:trPr>
        <w:tc>
          <w:tcPr>
            <w:tcW w:type="dxa" w:w="165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Get Cited &amp; Discovered</w:t>
            </w:r>
          </w:p>
        </w:tc>
        <w:tc>
          <w:tcPr>
            <w:tcW w:type="dxa" w:w="220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Buyer-side conversational layer</w:t>
            </w:r>
          </w:p>
        </w:tc>
        <w:tc>
          <w:tcPr>
            <w:tcW w:type="dxa" w:w="27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On-site bot answers capabilities, certifications, MOQ in seconds</w:t>
            </w:r>
          </w:p>
        </w:tc>
        <w:tc>
          <w:tcPr>
            <w:tcW w:type="dxa" w:w="137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Inquiry response</w:t>
            </w:r>
          </w:p>
        </w:tc>
        <w:tc>
          <w:tcPr>
            <w:tcW w:type="dxa" w:w="137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w:t>
            </w:r>
          </w:p>
        </w:tc>
      </w:tr>
      <w:tr>
        <w:trPr>
          <w:cantSplit/>
        </w:trPr>
        <w:tc>
          <w:tcPr>
            <w:tcW w:type="dxa" w:w="165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Win the Doc Race</w:t>
            </w:r>
          </w:p>
        </w:tc>
        <w:tc>
          <w:tcPr>
            <w:tcW w:type="dxa" w:w="220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RFP / RFI auto-drafting</w:t>
            </w:r>
          </w:p>
        </w:tc>
        <w:tc>
          <w:tcPr>
            <w:tcW w:type="dxa" w:w="27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Draft responses in the buyer’s exact format in minutes, not weeks</w:t>
            </w:r>
          </w:p>
        </w:tc>
        <w:tc>
          <w:tcPr>
            <w:tcW w:type="dxa" w:w="137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RFP turnaround</w:t>
            </w:r>
          </w:p>
        </w:tc>
        <w:tc>
          <w:tcPr>
            <w:tcW w:type="dxa" w:w="137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w:t>
            </w:r>
          </w:p>
        </w:tc>
      </w:tr>
      <w:tr>
        <w:trPr>
          <w:cantSplit/>
        </w:trPr>
        <w:tc>
          <w:tcPr>
            <w:tcW w:type="dxa" w:w="165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Win the Doc Race</w:t>
            </w:r>
          </w:p>
        </w:tc>
        <w:tc>
          <w:tcPr>
            <w:tcW w:type="dxa" w:w="220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FSVP / HARPC / COA library</w:t>
            </w:r>
          </w:p>
        </w:tc>
        <w:tc>
          <w:tcPr>
            <w:tcW w:type="dxa" w:w="27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Indexed certifications, lot COAs, kosher, halal, NOP, GFSI</w:t>
            </w:r>
          </w:p>
        </w:tc>
        <w:tc>
          <w:tcPr>
            <w:tcW w:type="dxa" w:w="137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Document coverage</w:t>
            </w:r>
          </w:p>
        </w:tc>
        <w:tc>
          <w:tcPr>
            <w:tcW w:type="dxa" w:w="137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w:t>
            </w:r>
          </w:p>
        </w:tc>
      </w:tr>
      <w:tr>
        <w:trPr>
          <w:cantSplit/>
        </w:trPr>
        <w:tc>
          <w:tcPr>
            <w:tcW w:type="dxa" w:w="165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Win the Doc Race</w:t>
            </w:r>
          </w:p>
        </w:tc>
        <w:tc>
          <w:tcPr>
            <w:tcW w:type="dxa" w:w="220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Multi-origin traceability</w:t>
            </w:r>
          </w:p>
        </w:tc>
        <w:tc>
          <w:tcPr>
            <w:tcW w:type="dxa" w:w="27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Lot chain of custody across India, Thailand, US — FSMA-204-ready</w:t>
            </w:r>
          </w:p>
        </w:tc>
        <w:tc>
          <w:tcPr>
            <w:tcW w:type="dxa" w:w="137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Audit response time</w:t>
            </w:r>
          </w:p>
        </w:tc>
        <w:tc>
          <w:tcPr>
            <w:tcW w:type="dxa" w:w="137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w:t>
            </w:r>
          </w:p>
        </w:tc>
      </w:tr>
      <w:tr>
        <w:trPr>
          <w:cantSplit/>
        </w:trPr>
        <w:tc>
          <w:tcPr>
            <w:tcW w:type="dxa" w:w="165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Win the Doc Race</w:t>
            </w:r>
          </w:p>
        </w:tc>
        <w:tc>
          <w:tcPr>
            <w:tcW w:type="dxa" w:w="220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Tariff &amp; trade signal monitor</w:t>
            </w:r>
          </w:p>
        </w:tc>
        <w:tc>
          <w:tcPr>
            <w:tcW w:type="dxa" w:w="27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Watch USITC, FX, freight; propose origin-mix updates per buyer</w:t>
            </w:r>
          </w:p>
        </w:tc>
        <w:tc>
          <w:tcPr>
            <w:tcW w:type="dxa" w:w="137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Margin protected</w:t>
            </w:r>
          </w:p>
        </w:tc>
        <w:tc>
          <w:tcPr>
            <w:tcW w:type="dxa" w:w="137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w:t>
            </w:r>
          </w:p>
        </w:tc>
      </w:tr>
      <w:tr>
        <w:trPr>
          <w:cantSplit/>
        </w:trPr>
        <w:tc>
          <w:tcPr>
            <w:tcW w:type="dxa" w:w="165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Hold &amp; Expand</w:t>
            </w:r>
          </w:p>
        </w:tc>
        <w:tc>
          <w:tcPr>
            <w:tcW w:type="dxa" w:w="220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Sales-pipeline memory</w:t>
            </w:r>
          </w:p>
        </w:tc>
        <w:tc>
          <w:tcPr>
            <w:tcW w:type="dxa" w:w="27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Every conversation, sample, audit, recipe iteration — searchable</w:t>
            </w:r>
          </w:p>
        </w:tc>
        <w:tc>
          <w:tcPr>
            <w:tcW w:type="dxa" w:w="137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Retrieval depth</w:t>
            </w:r>
          </w:p>
        </w:tc>
        <w:tc>
          <w:tcPr>
            <w:tcW w:type="dxa" w:w="137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w:t>
            </w:r>
          </w:p>
        </w:tc>
      </w:tr>
      <w:tr>
        <w:trPr>
          <w:cantSplit/>
        </w:trPr>
        <w:tc>
          <w:tcPr>
            <w:tcW w:type="dxa" w:w="165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Hold &amp; Expand</w:t>
            </w:r>
          </w:p>
        </w:tc>
        <w:tc>
          <w:tcPr>
            <w:tcW w:type="dxa" w:w="220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Per-SKU spec automation</w:t>
            </w:r>
          </w:p>
        </w:tc>
        <w:tc>
          <w:tcPr>
            <w:tcW w:type="dxa" w:w="27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Auto-generate spec sheets, allergen statements, packaging copy</w:t>
            </w:r>
          </w:p>
        </w:tc>
        <w:tc>
          <w:tcPr>
            <w:tcW w:type="dxa" w:w="137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Spec turnaround</w:t>
            </w:r>
          </w:p>
        </w:tc>
        <w:tc>
          <w:tcPr>
            <w:tcW w:type="dxa" w:w="137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w:t>
            </w:r>
          </w:p>
        </w:tc>
      </w:tr>
      <w:tr>
        <w:trPr>
          <w:cantSplit/>
        </w:trPr>
        <w:tc>
          <w:tcPr>
            <w:tcW w:type="dxa" w:w="165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Hold &amp; Expand</w:t>
            </w:r>
          </w:p>
        </w:tc>
        <w:tc>
          <w:tcPr>
            <w:tcW w:type="dxa" w:w="220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Account-renewal intelligence</w:t>
            </w:r>
          </w:p>
        </w:tc>
        <w:tc>
          <w:tcPr>
            <w:tcW w:type="dxa" w:w="27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Watch volume drift, price-hold expirations, audit cycles</w:t>
            </w:r>
          </w:p>
        </w:tc>
        <w:tc>
          <w:tcPr>
            <w:tcW w:type="dxa" w:w="137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Renewal rate</w:t>
            </w:r>
          </w:p>
        </w:tc>
        <w:tc>
          <w:tcPr>
            <w:tcW w:type="dxa" w:w="137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w:t>
            </w:r>
          </w:p>
        </w:tc>
      </w:tr>
      <w:tr>
        <w:trPr>
          <w:cantSplit/>
        </w:trPr>
        <w:tc>
          <w:tcPr>
            <w:tcW w:type="dxa" w:w="165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Hold &amp; Expand</w:t>
            </w:r>
          </w:p>
        </w:tc>
        <w:tc>
          <w:tcPr>
            <w:tcW w:type="dxa" w:w="220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Portfolio reuse (Simply So + BIEL)</w:t>
            </w:r>
          </w:p>
        </w:tc>
        <w:tc>
          <w:tcPr>
            <w:tcW w:type="dxa" w:w="27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Same engine for consumer brand + parent export markets</w:t>
            </w:r>
          </w:p>
        </w:tc>
        <w:tc>
          <w:tcPr>
            <w:tcW w:type="dxa" w:w="137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Communities live</w:t>
            </w:r>
          </w:p>
        </w:tc>
        <w:tc>
          <w:tcPr>
            <w:tcW w:type="dxa" w:w="137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A1A2E"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A1A2E"/>
                <w:sz w:val="22"/>
                <w:szCs w:val="22"/>
              </w:rPr>
              <w:t xml:space="preserve">The Human Boundary</w:t>
            </w:r>
          </w:p>
          <w:p>
            <w:pPr>
              <w:keepNext/>
              <w:keepLines/>
              <w:spacing w:after="60" w:before="40" w:line="300"/>
            </w:pPr>
            <w:r>
              <w:rPr>
                <w:rFonts w:ascii="Open Sans" w:cs="Open Sans" w:eastAsia="Open Sans" w:hAnsi="Open Sans"/>
                <w:color w:val="59595B"/>
                <w:sz w:val="20"/>
                <w:szCs w:val="20"/>
              </w:rPr>
              <w:t xml:space="preserve">AI auto-drafts, indexes, monitors, and remembers — with sources cited and inside the documentation rules each buyer audit applies. It gives every RFP, every audit, and every buyer conversation the same complete, in-format answer.</w:t>
            </w:r>
          </w:p>
          <w:p>
            <w:pPr>
              <w:keepNext/>
              <w:keepLines/>
              <w:spacing w:after="60" w:before="40" w:line="300"/>
            </w:pPr>
            <w:r>
              <w:rPr>
                <w:rFonts w:ascii="Open Sans" w:cs="Open Sans" w:eastAsia="Open Sans" w:hAnsi="Open Sans"/>
                <w:color w:val="59595B"/>
                <w:sz w:val="20"/>
                <w:szCs w:val="20"/>
              </w:rPr>
              <w:t xml:space="preserve">AI never makes the GFSI or food-safety determination, never approves a lot release, and never sets pricing in any antitrust-sensitive arrangement. A person owns the safety decision, the lot release, and the pricing — outside the regulatory and antitrust risk entirely.</w:t>
            </w:r>
          </w:p>
          <w:p>
            <w:pPr>
              <w:keepNext w:val="false"/>
              <w:keepLines/>
              <w:spacing w:after="60" w:before="40" w:line="300"/>
            </w:pPr>
            <w:r>
              <w:rPr>
                <w:rFonts w:ascii="Open Sans" w:cs="Open Sans" w:eastAsia="Open Sans" w:hAnsi="Open Sans"/>
                <w:color w:val="59595B"/>
                <w:sz w:val="20"/>
                <w:szCs w:val="20"/>
              </w:rPr>
              <w:t xml:space="preserve">The US sales and quality team is freed, not replaced: the AI handles the documentation tax, the signal monitoring, and the memory; the team spends its time on relationships, sampling, and the buyer conversations that close awards.</w:t>
            </w:r>
          </w:p>
        </w:tc>
      </w:tr>
    </w:tbl>
    <w:p>
      <w:pPr>
        <w:pStyle w:val="Heading1"/>
        <w:keepNext/>
        <w:pageBreakBefore/>
        <w:spacing w:after="120" w:before="0" w:line="240"/>
      </w:pPr>
      <w:r>
        <w:rPr>
          <w:rFonts w:ascii="Open Sans" w:cs="Open Sans" w:eastAsia="Open Sans" w:hAnsi="Open Sans"/>
          <w:color w:val="FFFFFF"/>
          <w:sz w:val="2"/>
          <w:szCs w:val="2"/>
        </w:rPr>
        <w:t xml:space="preserve">12  Business Impact &amp; Service Investment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12  Business Impact &amp; Service Investment</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plan is built to start small and expand. Rather than ask for the full program up front, it begins with a focused, low-commitment entry that pays for itself on the highest near-term levers — AI-search authority, named-account intelligence, and a strategy workshop — and expands into the buyer-documentation engine, the traceability layer, and the tariff signal monitor only as the results prove out. The model below is built from public information and conservative assumptions, because Algro’s internal numbers were not available for this draft. Every figure is estimated; the discovery questions in Section 15 replace them with real baselines.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AI as a Managed Investment — Not a Leap of Faith</w:t>
            </w:r>
          </w:p>
          <w:p>
            <w:pPr>
              <w:keepNext/>
              <w:keepLines/>
              <w:spacing w:after="60" w:before="40" w:line="300"/>
            </w:pPr>
            <w:r>
              <w:rPr>
                <w:rFonts w:ascii="Open Sans" w:cs="Open Sans" w:eastAsia="Open Sans" w:hAnsi="Open Sans"/>
                <w:color w:val="59595B"/>
                <w:sz w:val="20"/>
                <w:szCs w:val="20"/>
              </w:rPr>
              <w:t xml:space="preserve">The reason most AI spending disappoints is not the technology — it is the lack of measurement. Industry research (McKinsey, State of AI) finds roughly 88% of companies now use AI, but only about 39% see a real profit impact; the difference is discipline, not budget.</w:t>
            </w:r>
          </w:p>
          <w:p>
            <w:pPr>
              <w:keepNext w:val="false"/>
              <w:keepLines/>
              <w:spacing w:after="60" w:before="40" w:line="300"/>
            </w:pPr>
            <w:r>
              <w:rPr>
                <w:rFonts w:ascii="Open Sans" w:cs="Open Sans" w:eastAsia="Open Sans" w:hAnsi="Open Sans"/>
                <w:color w:val="59595B"/>
                <w:sz w:val="20"/>
                <w:szCs w:val="20"/>
              </w:rPr>
              <w:t xml:space="preserve">Technijian runs every engagement with stage-gates: we track adoption, then operational improvement, then financial benefit against total cost — and if a pilot does not clear its cost at the gate, we stop and re-scope. Algro carries the upside, not blind risk.</w:t>
            </w:r>
          </w:p>
        </w:tc>
      </w:tr>
    </w:tbl>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Projected KPI Lift (Estimated)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56"/>
        <w:gridCol w:w="2292"/>
        <w:gridCol w:w="2292"/>
        <w:gridCol w:w="1720"/>
      </w:tblGrid>
      <w:tr>
        <w:trPr>
          <w:cantSplit/>
          <w:tblHeader/>
        </w:trPr>
        <w:tc>
          <w:tcPr>
            <w:tcW w:type="dxa" w:w="305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KPI</w:t>
            </w:r>
          </w:p>
        </w:tc>
        <w:tc>
          <w:tcPr>
            <w:tcW w:type="dxa" w:w="229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Estimated Current</w:t>
            </w:r>
          </w:p>
        </w:tc>
        <w:tc>
          <w:tcPr>
            <w:tcW w:type="dxa" w:w="229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With the Program</w:t>
            </w:r>
          </w:p>
        </w:tc>
        <w:tc>
          <w:tcPr>
            <w:tcW w:type="dxa" w:w="172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Direction</w:t>
            </w:r>
          </w:p>
        </w:tc>
      </w:tr>
      <w:tr>
        <w:trPr>
          <w:cantSplit/>
        </w:trPr>
        <w:tc>
          <w:tcPr>
            <w:tcW w:type="dxa" w:w="305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AI-search citation on procurement queries</w:t>
            </w:r>
          </w:p>
        </w:tc>
        <w:tc>
          <w:tcPr>
            <w:tcW w:type="dxa" w:w="229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Below the citation surface</w:t>
            </w:r>
          </w:p>
        </w:tc>
        <w:tc>
          <w:tcPr>
            <w:tcW w:type="dxa" w:w="229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Cited by Google AI, ChatGPT, Perplexity</w:t>
            </w:r>
          </w:p>
        </w:tc>
        <w:tc>
          <w:tcPr>
            <w:tcW w:type="dxa" w:w="17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Discoverability</w:t>
            </w:r>
          </w:p>
        </w:tc>
      </w:tr>
      <w:tr>
        <w:trPr>
          <w:cantSplit/>
        </w:trPr>
        <w:tc>
          <w:tcPr>
            <w:tcW w:type="dxa" w:w="305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RFP / RFI response turnaround</w:t>
            </w:r>
          </w:p>
        </w:tc>
        <w:tc>
          <w:tcPr>
            <w:tcW w:type="dxa" w:w="229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Weeks; some skipped</w:t>
            </w:r>
          </w:p>
        </w:tc>
        <w:tc>
          <w:tcPr>
            <w:tcW w:type="dxa" w:w="229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Days; bandwidth ceiling removed</w:t>
            </w:r>
          </w:p>
        </w:tc>
        <w:tc>
          <w:tcPr>
            <w:tcW w:type="dxa" w:w="17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Win rate</w:t>
            </w:r>
          </w:p>
        </w:tc>
      </w:tr>
      <w:tr>
        <w:trPr>
          <w:cantSplit/>
        </w:trPr>
        <w:tc>
          <w:tcPr>
            <w:tcW w:type="dxa" w:w="305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Buyer audit response time</w:t>
            </w:r>
          </w:p>
        </w:tc>
        <w:tc>
          <w:tcPr>
            <w:tcW w:type="dxa" w:w="229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Manual; multi-round</w:t>
            </w:r>
          </w:p>
        </w:tc>
        <w:tc>
          <w:tcPr>
            <w:tcW w:type="dxa" w:w="229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Same-day; one-query coverage</w:t>
            </w:r>
          </w:p>
        </w:tc>
        <w:tc>
          <w:tcPr>
            <w:tcW w:type="dxa" w:w="17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Audit speed</w:t>
            </w:r>
          </w:p>
        </w:tc>
      </w:tr>
      <w:tr>
        <w:trPr>
          <w:cantSplit/>
        </w:trPr>
        <w:tc>
          <w:tcPr>
            <w:tcW w:type="dxa" w:w="305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Documentation completeness on first pass</w:t>
            </w:r>
          </w:p>
        </w:tc>
        <w:tc>
          <w:tcPr>
            <w:tcW w:type="dxa" w:w="229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Variable by responder</w:t>
            </w:r>
          </w:p>
        </w:tc>
        <w:tc>
          <w:tcPr>
            <w:tcW w:type="dxa" w:w="229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Consistent, sourced, in-format</w:t>
            </w:r>
          </w:p>
        </w:tc>
        <w:tc>
          <w:tcPr>
            <w:tcW w:type="dxa" w:w="17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Quality</w:t>
            </w:r>
          </w:p>
        </w:tc>
      </w:tr>
      <w:tr>
        <w:trPr>
          <w:cantSplit/>
        </w:trPr>
        <w:tc>
          <w:tcPr>
            <w:tcW w:type="dxa" w:w="305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Tariff-driven margin protection</w:t>
            </w:r>
          </w:p>
        </w:tc>
        <w:tc>
          <w:tcPr>
            <w:tcW w:type="dxa" w:w="229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Reactive</w:t>
            </w:r>
          </w:p>
        </w:tc>
        <w:tc>
          <w:tcPr>
            <w:tcW w:type="dxa" w:w="229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Proactive origin-mix proposals</w:t>
            </w:r>
          </w:p>
        </w:tc>
        <w:tc>
          <w:tcPr>
            <w:tcW w:type="dxa" w:w="17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Margin defended</w:t>
            </w:r>
          </w:p>
        </w:tc>
      </w:tr>
      <w:tr>
        <w:trPr>
          <w:cantSplit/>
        </w:trPr>
        <w:tc>
          <w:tcPr>
            <w:tcW w:type="dxa" w:w="305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Account renewal coverage</w:t>
            </w:r>
          </w:p>
        </w:tc>
        <w:tc>
          <w:tcPr>
            <w:tcW w:type="dxa" w:w="229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Reactive</w:t>
            </w:r>
          </w:p>
        </w:tc>
        <w:tc>
          <w:tcPr>
            <w:tcW w:type="dxa" w:w="229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Triggered before re-bid window</w:t>
            </w:r>
          </w:p>
        </w:tc>
        <w:tc>
          <w:tcPr>
            <w:tcW w:type="dxa" w:w="17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Renewal rate</w:t>
            </w:r>
          </w:p>
        </w:tc>
      </w:tr>
      <w:tr>
        <w:trPr>
          <w:cantSplit/>
        </w:trPr>
        <w:tc>
          <w:tcPr>
            <w:tcW w:type="dxa" w:w="305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Sales-team hours on documentation tax</w:t>
            </w:r>
          </w:p>
        </w:tc>
        <w:tc>
          <w:tcPr>
            <w:tcW w:type="dxa" w:w="229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Heavy, manual</w:t>
            </w:r>
          </w:p>
        </w:tc>
        <w:tc>
          <w:tcPr>
            <w:tcW w:type="dxa" w:w="229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Recovered for relationships</w:t>
            </w:r>
          </w:p>
        </w:tc>
        <w:tc>
          <w:tcPr>
            <w:tcW w:type="dxa" w:w="17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Capacity freed</w:t>
            </w:r>
          </w:p>
        </w:tc>
      </w:tr>
    </w:tbl>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The Entry Offer — The 90-Day AI Lead-Gen Pilot</w:t>
      </w:r>
    </w:p>
    <w:p>
      <w:pPr>
        <w:spacing w:after="140" w:before="0" w:line="320"/>
        <w:jc w:val="both"/>
      </w:pPr>
      <w:r>
        <w:rPr>
          <w:rFonts w:ascii="Open Sans" w:cs="Open Sans" w:eastAsia="Open Sans" w:hAnsi="Open Sans"/>
          <w:b w:val="false"/>
          <w:bCs w:val="false"/>
          <w:i w:val="false"/>
          <w:iCs w:val="false"/>
          <w:color w:val="59595B"/>
          <w:sz w:val="22"/>
          <w:szCs w:val="22"/>
        </w:rPr>
        <w:t xml:space="preserve">Start with one clearly-scoped, fixed-price program — not an open-ended engagement. The pilot stands up Algro’s AI-search authority on procurement queries and the named-account ABM intelligence engine, and proves the lift before any larger build is discussed. The ROI below is modeled against this entry program alone.</w:t>
      </w:r>
    </w:p>
    <w:p>
      <w:pPr>
        <w:spacing w:after="0" w:before="120"/>
      </w:pPr>
      <w:r>
        <w:t xml:space="preserve"/>
      </w:r>
    </w:p>
    <w:p>
      <w:pPr>
        <w:pStyle w:val="Heading2"/>
        <w:keepNext/>
        <w:keepLines/>
        <w:spacing w:after="120" w:before="280"/>
      </w:pPr>
      <w:r>
        <w:rPr>
          <w:rFonts w:ascii="Open Sans" w:cs="Open Sans" w:eastAsia="Open Sans" w:hAnsi="Open Sans"/>
          <w:b/>
          <w:bCs/>
          <w:color w:val="006DB6"/>
          <w:sz w:val="26"/>
          <w:szCs w:val="26"/>
        </w:rPr>
        <w:t xml:space="preserve">Year-1 ROI Model — The Entry Pilot (Estimated, Conservative)</w:t>
      </w:r>
    </w:p>
    <w:p>
      <w:pPr>
        <w:spacing w:after="140" w:before="0" w:line="320"/>
        <w:jc w:val="both"/>
      </w:pPr>
      <w:r>
        <w:rPr>
          <w:rFonts w:ascii="Open Sans" w:cs="Open Sans" w:eastAsia="Open Sans" w:hAnsi="Open Sans"/>
          <w:b w:val="false"/>
          <w:bCs w:val="false"/>
          <w:i w:val="false"/>
          <w:iCs w:val="false"/>
          <w:color w:val="59595B"/>
          <w:sz w:val="20"/>
          <w:szCs w:val="20"/>
        </w:rPr>
        <w:t xml:space="preserve">Value is modeled on the two highest-conviction levers — additional RFP responses completed at the same win rate, and accounts protected from renewal loss — not on pricing changes, because pricing stays out of scope. The entry program alone (AI-search authority, named-account intelligence, and the strategy workshop) drives the lift below; the expansion build adds the buyer-documentation engine and the tariff signal that push both levers further.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3"/>
        <w:gridCol w:w="1985"/>
        <w:gridCol w:w="1985"/>
        <w:gridCol w:w="1987"/>
      </w:tblGrid>
      <w:tr>
        <w:trPr>
          <w:cantSplit/>
          <w:tblHeader/>
        </w:trPr>
        <w:tc>
          <w:tcPr>
            <w:tcW w:type="dxa" w:w="3403"/>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Model Input</w:t>
            </w:r>
          </w:p>
        </w:tc>
        <w:tc>
          <w:tcPr>
            <w:tcW w:type="dxa" w:w="1985"/>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Conservative</w:t>
            </w:r>
          </w:p>
        </w:tc>
        <w:tc>
          <w:tcPr>
            <w:tcW w:type="dxa" w:w="1985"/>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Target</w:t>
            </w:r>
          </w:p>
        </w:tc>
        <w:tc>
          <w:tcPr>
            <w:tcW w:type="dxa" w:w="1987"/>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Aggressive</w:t>
            </w:r>
          </w:p>
        </w:tc>
      </w:tr>
      <w:tr>
        <w:trPr>
          <w:cantSplit/>
        </w:trPr>
        <w:tc>
          <w:tcPr>
            <w:tcW w:type="dxa" w:w="340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Additional RFP responses completed / year</w:t>
            </w:r>
          </w:p>
        </w:tc>
        <w:tc>
          <w:tcPr>
            <w:tcW w:type="dxa" w:w="198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+4</w:t>
            </w:r>
          </w:p>
        </w:tc>
        <w:tc>
          <w:tcPr>
            <w:tcW w:type="dxa" w:w="198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+8</w:t>
            </w:r>
          </w:p>
        </w:tc>
        <w:tc>
          <w:tcPr>
            <w:tcW w:type="dxa" w:w="198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+12</w:t>
            </w:r>
          </w:p>
        </w:tc>
      </w:tr>
      <w:tr>
        <w:trPr>
          <w:cantSplit/>
        </w:trPr>
        <w:tc>
          <w:tcPr>
            <w:tcW w:type="dxa" w:w="340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Implied wins at a ~10–15% assumed category win-rate</w:t>
            </w:r>
          </w:p>
        </w:tc>
        <w:tc>
          <w:tcPr>
            <w:tcW w:type="dxa" w:w="198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~1</w:t>
            </w:r>
          </w:p>
        </w:tc>
        <w:tc>
          <w:tcPr>
            <w:tcW w:type="dxa" w:w="198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~1.5</w:t>
            </w:r>
          </w:p>
        </w:tc>
        <w:tc>
          <w:tcPr>
            <w:tcW w:type="dxa" w:w="198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~2</w:t>
            </w:r>
          </w:p>
        </w:tc>
      </w:tr>
      <w:tr>
        <w:trPr>
          <w:cantSplit/>
        </w:trPr>
        <w:tc>
          <w:tcPr>
            <w:tcW w:type="dxa" w:w="340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Avg first-year revenue per won account (illustrative)</w:t>
            </w:r>
          </w:p>
        </w:tc>
        <w:tc>
          <w:tcPr>
            <w:tcW w:type="dxa" w:w="198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$40K</w:t>
            </w:r>
          </w:p>
        </w:tc>
        <w:tc>
          <w:tcPr>
            <w:tcW w:type="dxa" w:w="198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$60K</w:t>
            </w:r>
          </w:p>
        </w:tc>
        <w:tc>
          <w:tcPr>
            <w:tcW w:type="dxa" w:w="198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$80K</w:t>
            </w:r>
          </w:p>
        </w:tc>
      </w:tr>
      <w:tr>
        <w:trPr>
          <w:cantSplit/>
        </w:trPr>
        <w:tc>
          <w:tcPr>
            <w:tcW w:type="dxa" w:w="340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Added revenue from faster RFP response</w:t>
            </w:r>
          </w:p>
        </w:tc>
        <w:tc>
          <w:tcPr>
            <w:tcW w:type="dxa" w:w="198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+$40K</w:t>
            </w:r>
          </w:p>
        </w:tc>
        <w:tc>
          <w:tcPr>
            <w:tcW w:type="dxa" w:w="198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+$90K</w:t>
            </w:r>
          </w:p>
        </w:tc>
        <w:tc>
          <w:tcPr>
            <w:tcW w:type="dxa" w:w="198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+$160K</w:t>
            </w:r>
          </w:p>
        </w:tc>
      </w:tr>
      <w:tr>
        <w:trPr>
          <w:cantSplit/>
        </w:trPr>
        <w:tc>
          <w:tcPr>
            <w:tcW w:type="dxa" w:w="340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Accounts protected from renewal loss</w:t>
            </w:r>
          </w:p>
        </w:tc>
        <w:tc>
          <w:tcPr>
            <w:tcW w:type="dxa" w:w="198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+1</w:t>
            </w:r>
          </w:p>
        </w:tc>
        <w:tc>
          <w:tcPr>
            <w:tcW w:type="dxa" w:w="198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+2</w:t>
            </w:r>
          </w:p>
        </w:tc>
        <w:tc>
          <w:tcPr>
            <w:tcW w:type="dxa" w:w="198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+3</w:t>
            </w:r>
          </w:p>
        </w:tc>
      </w:tr>
      <w:tr>
        <w:trPr>
          <w:cantSplit/>
        </w:trPr>
        <w:tc>
          <w:tcPr>
            <w:tcW w:type="dxa" w:w="340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Renewal value protected (avg $30–50K)</w:t>
            </w:r>
          </w:p>
        </w:tc>
        <w:tc>
          <w:tcPr>
            <w:tcW w:type="dxa" w:w="198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+$30K</w:t>
            </w:r>
          </w:p>
        </w:tc>
        <w:tc>
          <w:tcPr>
            <w:tcW w:type="dxa" w:w="198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+$80K</w:t>
            </w:r>
          </w:p>
        </w:tc>
        <w:tc>
          <w:tcPr>
            <w:tcW w:type="dxa" w:w="198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+$150K</w:t>
            </w:r>
          </w:p>
        </w:tc>
      </w:tr>
      <w:tr>
        <w:trPr>
          <w:cantSplit/>
        </w:trPr>
        <w:tc>
          <w:tcPr>
            <w:tcW w:type="dxa" w:w="340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Total Y1 Value (entry)</w:t>
            </w:r>
          </w:p>
        </w:tc>
        <w:tc>
          <w:tcPr>
            <w:tcW w:type="dxa" w:w="198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bCs/>
                <w:color w:val="59595B"/>
                <w:sz w:val="20"/>
                <w:szCs w:val="20"/>
              </w:rPr>
              <w:t xml:space="preserve">+$70K</w:t>
            </w:r>
          </w:p>
        </w:tc>
        <w:tc>
          <w:tcPr>
            <w:tcW w:type="dxa" w:w="198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bCs/>
                <w:color w:val="59595B"/>
                <w:sz w:val="20"/>
                <w:szCs w:val="20"/>
              </w:rPr>
              <w:t xml:space="preserve">+$170K</w:t>
            </w:r>
          </w:p>
        </w:tc>
        <w:tc>
          <w:tcPr>
            <w:tcW w:type="dxa" w:w="198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bCs/>
                <w:color w:val="59595B"/>
                <w:sz w:val="20"/>
                <w:szCs w:val="20"/>
              </w:rPr>
              <w:t xml:space="preserve">+$310K</w:t>
            </w:r>
          </w:p>
        </w:tc>
      </w:tr>
      <w:tr>
        <w:trPr>
          <w:cantSplit/>
        </w:trPr>
        <w:tc>
          <w:tcPr>
            <w:tcW w:type="dxa" w:w="340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Entry Program Investment (Y1)</w:t>
            </w:r>
          </w:p>
        </w:tc>
        <w:tc>
          <w:tcPr>
            <w:tcW w:type="dxa" w:w="198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bCs/>
                <w:color w:val="59595B"/>
                <w:sz w:val="20"/>
                <w:szCs w:val="20"/>
              </w:rPr>
              <w:t xml:space="preserve">~$32,000</w:t>
            </w:r>
          </w:p>
        </w:tc>
        <w:tc>
          <w:tcPr>
            <w:tcW w:type="dxa" w:w="198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bCs/>
                <w:color w:val="59595B"/>
                <w:sz w:val="20"/>
                <w:szCs w:val="20"/>
              </w:rPr>
              <w:t xml:space="preserve">~$32,000</w:t>
            </w:r>
          </w:p>
        </w:tc>
        <w:tc>
          <w:tcPr>
            <w:tcW w:type="dxa" w:w="198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bCs/>
                <w:color w:val="59595B"/>
                <w:sz w:val="20"/>
                <w:szCs w:val="20"/>
              </w:rPr>
              <w:t xml:space="preserve">~$32,000</w:t>
            </w:r>
          </w:p>
        </w:tc>
      </w:tr>
      <w:tr>
        <w:trPr>
          <w:cantSplit/>
        </w:trPr>
        <w:tc>
          <w:tcPr>
            <w:tcW w:type="dxa" w:w="340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006DB6"/>
                <w:sz w:val="20"/>
                <w:szCs w:val="20"/>
              </w:rPr>
              <w:t xml:space="preserve">Modeled ROI Ratio</w:t>
            </w:r>
          </w:p>
        </w:tc>
        <w:tc>
          <w:tcPr>
            <w:tcW w:type="dxa" w:w="198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bCs/>
                <w:color w:val="28A745"/>
                <w:sz w:val="20"/>
                <w:szCs w:val="20"/>
              </w:rPr>
              <w:t xml:space="preserve">~2.2x</w:t>
            </w:r>
          </w:p>
        </w:tc>
        <w:tc>
          <w:tcPr>
            <w:tcW w:type="dxa" w:w="198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bCs/>
                <w:color w:val="28A745"/>
                <w:sz w:val="20"/>
                <w:szCs w:val="20"/>
              </w:rPr>
              <w:t xml:space="preserve">~5.3x</w:t>
            </w:r>
          </w:p>
        </w:tc>
        <w:tc>
          <w:tcPr>
            <w:tcW w:type="dxa" w:w="198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bCs/>
                <w:color w:val="28A745"/>
                <w:sz w:val="20"/>
                <w:szCs w:val="20"/>
              </w:rPr>
              <w:t xml:space="preserve">~9.7x</w:t>
            </w:r>
          </w:p>
        </w:tc>
      </w:tr>
    </w:tbl>
    <w:p>
      <w:pPr>
        <w:spacing w:after="0" w:before="60"/>
      </w:pPr>
      <w:r>
        <w:t xml:space="preserve"/>
      </w:r>
    </w:p>
    <w:p>
      <w:pPr>
        <w:spacing w:after="140" w:before="0" w:line="320"/>
        <w:jc w:val="both"/>
      </w:pPr>
      <w:r>
        <w:rPr>
          <w:rFonts w:ascii="Open Sans" w:cs="Open Sans" w:eastAsia="Open Sans" w:hAnsi="Open Sans"/>
          <w:b w:val="false"/>
          <w:bCs w:val="false"/>
          <w:i/>
          <w:iCs/>
          <w:color w:val="59595B"/>
          <w:sz w:val="18"/>
          <w:szCs w:val="18"/>
        </w:rPr>
        <w:t xml:space="preserve">The ratio is measured against the entry program only — the easiest possible place to start. It does not count the larger gains the expansion build adds (the buyer-documentation engine, the traceability layer, the tariff signal monitor), the AI-search authority that compounds month over month, the sales-team hours recovered from the documentation tax, or the reuse of the engine for the Simply So consumer brand and the BIEL parent export. Average first-year revenue per won account is illustrative and is replaced with Algro’s actual book in discovery. All figures are projected, not guaranteed.</w:t>
      </w:r>
    </w:p>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Service Investment Map — Start Small, Expand as It Proves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52"/>
        <w:gridCol w:w="3459"/>
        <w:gridCol w:w="1424"/>
        <w:gridCol w:w="1425"/>
      </w:tblGrid>
      <w:tr>
        <w:trPr>
          <w:cantSplit/>
          <w:tblHeader/>
        </w:trPr>
        <w:tc>
          <w:tcPr>
            <w:tcW w:type="dxa" w:w="305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Service</w:t>
            </w:r>
          </w:p>
        </w:tc>
        <w:tc>
          <w:tcPr>
            <w:tcW w:type="dxa" w:w="3459"/>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Scope</w:t>
            </w:r>
          </w:p>
        </w:tc>
        <w:tc>
          <w:tcPr>
            <w:tcW w:type="dxa" w:w="142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Monthly</w:t>
            </w:r>
          </w:p>
        </w:tc>
        <w:tc>
          <w:tcPr>
            <w:tcW w:type="dxa" w:w="1425"/>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Y1</w:t>
            </w:r>
          </w:p>
        </w:tc>
      </w:tr>
      <w:tr>
        <w:trPr>
          <w:cantSplit/>
        </w:trPr>
        <w:tc>
          <w:tcPr>
            <w:tcW w:type="dxa" w:w="30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 AI Readiness + Executive Workshop (one-time)</w:t>
            </w:r>
          </w:p>
        </w:tc>
        <w:tc>
          <w:tcPr>
            <w:tcW w:type="dxa" w:w="345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half-day session with Deepak, Sinem, and the sales lead — AI buyer-experience roadmap, FSMA-204 readiness, and tariff-signal monitoring kickoff</w:t>
            </w:r>
          </w:p>
        </w:tc>
        <w:tc>
          <w:tcPr>
            <w:tcW w:type="dxa" w:w="142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w:t>
            </w:r>
          </w:p>
        </w:tc>
        <w:tc>
          <w:tcPr>
            <w:tcW w:type="dxa" w:w="142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$5,000</w:t>
            </w:r>
          </w:p>
        </w:tc>
      </w:tr>
      <w:tr>
        <w:trPr>
          <w:cantSplit/>
        </w:trPr>
        <w:tc>
          <w:tcPr>
            <w:tcW w:type="dxa" w:w="30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 — AI-Search Authority + Reputation</w:t>
            </w:r>
          </w:p>
        </w:tc>
        <w:tc>
          <w:tcPr>
            <w:tcW w:type="dxa" w:w="345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Own AI-search citations on procurement queries; the LinkedIn cadence on tariffs, FSMA, and multi-origin compliance</w:t>
            </w:r>
          </w:p>
        </w:tc>
        <w:tc>
          <w:tcPr>
            <w:tcW w:type="dxa" w:w="142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$1,250</w:t>
            </w:r>
          </w:p>
        </w:tc>
        <w:tc>
          <w:tcPr>
            <w:tcW w:type="dxa" w:w="142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$15,000</w:t>
            </w:r>
          </w:p>
        </w:tc>
      </w:tr>
      <w:tr>
        <w:trPr>
          <w:cantSplit/>
        </w:trPr>
        <w:tc>
          <w:tcPr>
            <w:tcW w:type="dxa" w:w="30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Lead Gen — Named-Account ABM (Starter)</w:t>
            </w:r>
          </w:p>
        </w:tc>
        <w:tc>
          <w:tcPr>
            <w:tcW w:type="dxa" w:w="345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Track named accounts; trigger monitoring; per-account dossiers across retail PL, foodservice, and industrial CPG</w:t>
            </w:r>
          </w:p>
        </w:tc>
        <w:tc>
          <w:tcPr>
            <w:tcW w:type="dxa" w:w="142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$1,000</w:t>
            </w:r>
          </w:p>
        </w:tc>
        <w:tc>
          <w:tcPr>
            <w:tcW w:type="dxa" w:w="142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$12,000</w:t>
            </w:r>
          </w:p>
        </w:tc>
      </w:tr>
      <w:tr>
        <w:trPr>
          <w:cantSplit/>
        </w:trPr>
        <w:tc>
          <w:tcPr>
            <w:tcW w:type="dxa" w:w="30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THE 90-DAY AI LEAD-GEN PILOT — Phase 1 (start here)</w:t>
            </w:r>
          </w:p>
        </w:tc>
        <w:tc>
          <w:tcPr>
            <w:tcW w:type="dxa" w:w="345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Recurring $2,250/mo + workshop</w:t>
            </w:r>
          </w:p>
        </w:tc>
        <w:tc>
          <w:tcPr>
            <w:tcW w:type="dxa" w:w="142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bCs/>
                <w:color w:val="59595B"/>
                <w:sz w:val="20"/>
                <w:szCs w:val="20"/>
              </w:rPr>
              <w:t xml:space="preserve"/>
            </w:r>
          </w:p>
        </w:tc>
        <w:tc>
          <w:tcPr>
            <w:tcW w:type="dxa" w:w="142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bCs/>
                <w:color w:val="F67D4B"/>
                <w:sz w:val="20"/>
                <w:szCs w:val="20"/>
              </w:rPr>
              <w:t xml:space="preserve">~$32,000</w:t>
            </w:r>
          </w:p>
        </w:tc>
      </w:tr>
      <w:tr>
        <w:trPr>
          <w:cantSplit/>
        </w:trPr>
        <w:tc>
          <w:tcPr>
            <w:tcW w:type="dxa" w:w="30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 — AI Buyer-Documentation Engine + Traceability + Tariff Monitor (Phase 2 build)</w:t>
            </w:r>
          </w:p>
        </w:tc>
        <w:tc>
          <w:tcPr>
            <w:tcW w:type="dxa" w:w="345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custom build — RFP / RFI auto-drafting, FSVP / HARPC / COA / cert library, multi-origin chain of custody, tariff signal monitor, buyer-side conversational layer</w:t>
            </w:r>
          </w:p>
        </w:tc>
        <w:tc>
          <w:tcPr>
            <w:tcW w:type="dxa" w:w="142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w:t>
            </w:r>
          </w:p>
        </w:tc>
        <w:tc>
          <w:tcPr>
            <w:tcW w:type="dxa" w:w="142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$48,000</w:t>
            </w:r>
          </w:p>
        </w:tc>
      </w:tr>
      <w:tr>
        <w:trPr>
          <w:cantSplit/>
        </w:trPr>
        <w:tc>
          <w:tcPr>
            <w:tcW w:type="dxa" w:w="30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 — Managed App Services (Phase 2)</w:t>
            </w:r>
          </w:p>
        </w:tc>
        <w:tc>
          <w:tcPr>
            <w:tcW w:type="dxa" w:w="345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Hosting, monitoring, and iteration of the buyer-documentation engine</w:t>
            </w:r>
          </w:p>
        </w:tc>
        <w:tc>
          <w:tcPr>
            <w:tcW w:type="dxa" w:w="142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$800</w:t>
            </w:r>
          </w:p>
        </w:tc>
        <w:tc>
          <w:tcPr>
            <w:tcW w:type="dxa" w:w="142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$9,600</w:t>
            </w:r>
          </w:p>
        </w:tc>
      </w:tr>
      <w:tr>
        <w:trPr>
          <w:cantSplit/>
        </w:trPr>
        <w:tc>
          <w:tcPr>
            <w:tcW w:type="dxa" w:w="30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 Fractional AI Advisor (Phase 2)</w:t>
            </w:r>
          </w:p>
        </w:tc>
        <w:tc>
          <w:tcPr>
            <w:tcW w:type="dxa" w:w="345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Program leadership, food-safety / FSMA / tariff governance, model performance review</w:t>
            </w:r>
          </w:p>
        </w:tc>
        <w:tc>
          <w:tcPr>
            <w:tcW w:type="dxa" w:w="142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$2,000</w:t>
            </w:r>
          </w:p>
        </w:tc>
        <w:tc>
          <w:tcPr>
            <w:tcW w:type="dxa" w:w="142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$24,000</w:t>
            </w:r>
          </w:p>
        </w:tc>
      </w:tr>
      <w:tr>
        <w:trPr>
          <w:cantSplit/>
        </w:trPr>
        <w:tc>
          <w:tcPr>
            <w:tcW w:type="dxa" w:w="30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FULL ENGINE — Entry + Expansion</w:t>
            </w:r>
          </w:p>
        </w:tc>
        <w:tc>
          <w:tcPr>
            <w:tcW w:type="dxa" w:w="345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Recurring $5,050/mo + builds</w:t>
            </w:r>
          </w:p>
        </w:tc>
        <w:tc>
          <w:tcPr>
            <w:tcW w:type="dxa" w:w="142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bCs/>
                <w:color w:val="59595B"/>
                <w:sz w:val="20"/>
                <w:szCs w:val="20"/>
              </w:rPr>
              <w:t xml:space="preserve"/>
            </w:r>
          </w:p>
        </w:tc>
        <w:tc>
          <w:tcPr>
            <w:tcW w:type="dxa" w:w="142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bCs/>
                <w:color w:val="006DB6"/>
                <w:sz w:val="20"/>
                <w:szCs w:val="20"/>
              </w:rPr>
              <w:t xml:space="preserve">~$113,600</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28A745"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28A745"/>
                <w:sz w:val="22"/>
                <w:szCs w:val="22"/>
              </w:rPr>
              <w:t xml:space="preserve">The Pilot Bar — and Our Commitment</w:t>
            </w:r>
          </w:p>
          <w:p>
            <w:pPr>
              <w:keepNext/>
              <w:keepLines/>
              <w:spacing w:after="60" w:before="40" w:line="300"/>
            </w:pPr>
            <w:r>
              <w:rPr>
                <w:rFonts w:ascii="Open Sans" w:cs="Open Sans" w:eastAsia="Open Sans" w:hAnsi="Open Sans"/>
                <w:color w:val="59595B"/>
                <w:sz w:val="20"/>
                <w:szCs w:val="20"/>
              </w:rPr>
              <w:t xml:space="preserve">Success metric: within 90 days, Algro is cited by at least one major AI assistant (ChatGPT, Perplexity, or Google AI) for a high-intent procurement query (for example, “USDA NOP organic basmati private-label supplier in California” or “FSMA-204-ready rice importer”), AND a named-account dossier pipeline is live and feeding the sales team.</w:t>
            </w:r>
          </w:p>
          <w:p>
            <w:pPr>
              <w:keepNext w:val="false"/>
              <w:keepLines/>
              <w:spacing w:after="60" w:before="40" w:line="300"/>
            </w:pPr>
            <w:r>
              <w:rPr>
                <w:rFonts w:ascii="Open Sans" w:cs="Open Sans" w:eastAsia="Open Sans" w:hAnsi="Open Sans"/>
                <w:color w:val="59595B"/>
                <w:sz w:val="20"/>
                <w:szCs w:val="20"/>
              </w:rPr>
              <w:t xml:space="preserve">Our commitment: the entry pilot is month-to-month after the initial term — no long lock-in, no obligation to continue if it does not hit the metric by day 90. If it has not moved the needle, you are under no obligation to continue, and we will tell you honestly whether it is worth continuing. You carry the upside, not the risk.</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Land Small, Then Expand</w:t>
            </w:r>
          </w:p>
          <w:p>
            <w:pPr>
              <w:keepNext/>
              <w:keepLines/>
              <w:spacing w:after="60" w:before="40" w:line="300"/>
            </w:pPr>
            <w:r>
              <w:rPr>
                <w:rFonts w:ascii="Open Sans" w:cs="Open Sans" w:eastAsia="Open Sans" w:hAnsi="Open Sans"/>
                <w:color w:val="59595B"/>
                <w:sz w:val="20"/>
                <w:szCs w:val="20"/>
              </w:rPr>
              <w:t xml:space="preserve">Start with the roughly $32,000 entry pilot — AI-search authority, named-account ABM intelligence, and the strategy workshop — that pays for itself on faster RFP responses and renewal protection, with no large build to begin.</w:t>
            </w:r>
          </w:p>
          <w:p>
            <w:pPr>
              <w:keepNext/>
              <w:keepLines/>
              <w:spacing w:after="60" w:before="40" w:line="300"/>
            </w:pPr>
            <w:r>
              <w:rPr>
                <w:rFonts w:ascii="Open Sans" w:cs="Open Sans" w:eastAsia="Open Sans" w:hAnsi="Open Sans"/>
                <w:color w:val="59595B"/>
                <w:sz w:val="20"/>
                <w:szCs w:val="20"/>
              </w:rPr>
              <w:t xml:space="preserve">Expand into the full engine (the buyer-documentation and traceability build, the tariff signal monitor, the fractional AI advisor) only once the entry proves the lift. That one-time build is then a portfolio platform.</w:t>
            </w:r>
          </w:p>
          <w:p>
            <w:pPr>
              <w:keepNext w:val="false"/>
              <w:keepLines/>
              <w:spacing w:after="60" w:before="40" w:line="300"/>
            </w:pPr>
            <w:r>
              <w:rPr>
                <w:rFonts w:ascii="Open Sans" w:cs="Open Sans" w:eastAsia="Open Sans" w:hAnsi="Open Sans"/>
                <w:color w:val="59595B"/>
                <w:sz w:val="20"/>
                <w:szCs w:val="20"/>
              </w:rPr>
              <w:t xml:space="preserve">Phase 3 is reuse: the same engine carries Simply So consumer-brand demand-gen and the BIEL parent’s 54-country export markets — without re-paying the build. Treat as upside, not Year-1 ask.</w:t>
            </w:r>
          </w:p>
        </w:tc>
      </w:tr>
    </w:tbl>
    <w:p>
      <w:pPr>
        <w:pStyle w:val="Heading1"/>
        <w:keepNext/>
        <w:pageBreakBefore/>
        <w:spacing w:after="120" w:before="0" w:line="240"/>
      </w:pPr>
      <w:r>
        <w:rPr>
          <w:rFonts w:ascii="Open Sans" w:cs="Open Sans" w:eastAsia="Open Sans" w:hAnsi="Open Sans"/>
          <w:color w:val="FFFFFF"/>
          <w:sz w:val="2"/>
          <w:szCs w:val="2"/>
        </w:rPr>
        <w:t xml:space="preserve">13  Implementation Roadmap</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EAAC8"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EAAC8"/>
                <w:sz w:val="34"/>
                <w:szCs w:val="34"/>
              </w:rPr>
              <w:t xml:space="preserve">13  Implementation Roadmap</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roadmap runs on a 90 / 180 / 270-day cadence that mirrors the land-and-expand plan: start with the low-commitment entry — get cited and capture the named-account inbound — then add the buyer-documentation engine and the traceability layer, then hold and expand. Real gains — AI-search citations, named-account dossiers, an indexed certification library — are visible inside the first ninety days, before the larger build; the deeper engine and the portfolio reuse are given realistic runway.</w:t>
      </w:r>
    </w:p>
    <w:p>
      <w:pPr>
        <w:spacing w:after="0" w:before="200"/>
      </w:pPr>
      <w:r>
        <w:t xml:space="preserve"/>
      </w:r>
    </w:p>
    <w:p>
      <w:pPr>
        <w:spacing w:after="80" w:before="120"/>
        <w:jc w:val="center"/>
      </w:pPr>
      <w:r>
        <w:drawing>
          <wp:inline distT="0" distB="0" distL="0" distR="0">
            <wp:extent cx="5715000" cy="2486025"/>
            <wp:effectExtent t="0" r="0" b="0" l="0"/>
            <wp:docPr id="1" name="Algro 90-180-270 Day Roadmap" descr="Algro 90-180-270 Day Roadmap" title="Algro 90-180-270 Day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486025"/>
                    </a:xfrm>
                    <a:prstGeom prst="rect">
                      <a:avLst/>
                    </a:prstGeom>
                  </pic:spPr>
                </pic:pic>
              </a:graphicData>
            </a:graphic>
          </wp:inline>
        </w:drawing>
      </w:r>
    </w:p>
    <w:p>
      <w:pPr>
        <w:spacing w:after="240" w:before="0"/>
        <w:jc w:val="center"/>
      </w:pPr>
      <w:r>
        <w:rPr>
          <w:rFonts w:ascii="Open Sans" w:cs="Open Sans" w:eastAsia="Open Sans" w:hAnsi="Open Sans"/>
          <w:i/>
          <w:iCs/>
          <w:color w:val="59595B"/>
          <w:sz w:val="18"/>
          <w:szCs w:val="18"/>
        </w:rPr>
        <w:t xml:space="preserve">Figure 12.0 — The Algro Growth Program: 90 / 180 / 270-Day Roadmap</w:t>
      </w:r>
    </w:p>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Phase 1 — Get Cited &amp; Capture (Days 1–90)</w:t>
      </w:r>
    </w:p>
    <w:p>
      <w:pPr>
        <w:spacing w:after="140" w:before="0" w:line="320"/>
        <w:jc w:val="both"/>
      </w:pPr>
      <w:r>
        <w:rPr>
          <w:rFonts w:ascii="Open Sans" w:cs="Open Sans" w:eastAsia="Open Sans" w:hAnsi="Open Sans"/>
          <w:b w:val="false"/>
          <w:bCs w:val="false"/>
          <w:i w:val="false"/>
          <w:iCs w:val="false"/>
          <w:color w:val="59595B"/>
          <w:sz w:val="22"/>
          <w:szCs w:val="22"/>
        </w:rPr>
        <w:t xml:space="preserve">The low-commitment entry — get cited on procurement queries and capture the named-account universe, with quick, visible wins and no large build to begin.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cantSplit/>
          <w:tblHeader/>
        </w:trPr>
        <w:tc>
          <w:tcPr>
            <w:tcW w:type="dxa" w:w="280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Milestone</w:t>
            </w:r>
          </w:p>
        </w:tc>
        <w:tc>
          <w:tcPr>
            <w:tcW w:type="dxa" w:w="655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Deliverables</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1.1 — AEO + Thought Leadership</w:t>
            </w:r>
          </w:p>
        </w:tc>
        <w:tc>
          <w:tcPr>
            <w:tcW w:type="dxa" w:w="65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Launch Multi-Agent SEO + AEO targeting the procurement queries that matter (USDA NOP organic basmati private-label supplier; FSMA-204-ready rice importer; multi-origin organic chain of custody). Draft the under-covered category authority content on tariffs and FSMA. Lift the LinkedIn cadence with Deepak and Sinem.</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1.2 — Named-Account ABM</w:t>
            </w:r>
          </w:p>
        </w:tc>
        <w:tc>
          <w:tcPr>
            <w:tcW w:type="dxa" w:w="65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Stand up the named-account list across retail PL, foodservice, and industrial CPG. Begin trigger monitoring (new private-label launches, category-buyer changes, recall events at competitors, FSVP supplier changes). Deliver pre-meeting account dossiers to the sales team — the entry program’s fast win, with no custom build required.</w:t>
            </w:r>
          </w:p>
        </w:tc>
      </w:tr>
    </w:tbl>
    <w:p>
      <w:pPr>
        <w:spacing w:after="0" w:before="160"/>
      </w:pPr>
      <w:r>
        <w:t xml:space="preserve"/>
      </w:r>
    </w:p>
    <w:p>
      <w:pPr>
        <w:pStyle w:val="Heading2"/>
        <w:keepNext/>
        <w:keepLines/>
        <w:spacing w:after="120" w:before="280"/>
      </w:pPr>
      <w:r>
        <w:rPr>
          <w:rFonts w:ascii="Open Sans" w:cs="Open Sans" w:eastAsia="Open Sans" w:hAnsi="Open Sans"/>
          <w:b/>
          <w:bCs/>
          <w:color w:val="1EAAC8"/>
          <w:sz w:val="26"/>
          <w:szCs w:val="26"/>
        </w:rPr>
        <w:t xml:space="preserve">Phase 2 — Build the Documentation Engine (Days 91–180)</w:t>
      </w:r>
    </w:p>
    <w:p>
      <w:pPr>
        <w:spacing w:after="140" w:before="0" w:line="320"/>
        <w:jc w:val="both"/>
      </w:pPr>
      <w:r>
        <w:rPr>
          <w:rFonts w:ascii="Open Sans" w:cs="Open Sans" w:eastAsia="Open Sans" w:hAnsi="Open Sans"/>
          <w:b w:val="false"/>
          <w:bCs w:val="false"/>
          <w:i w:val="false"/>
          <w:iCs w:val="false"/>
          <w:color w:val="59595B"/>
          <w:sz w:val="22"/>
          <w:szCs w:val="22"/>
        </w:rPr>
        <w:t xml:space="preserve">The expansion build, once the entry proves the lift — add the buyer-documentation engine, the traceability layer, and the tariff signal monitor.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cantSplit/>
          <w:tblHeader/>
        </w:trPr>
        <w:tc>
          <w:tcPr>
            <w:tcW w:type="dxa" w:w="280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Milestone</w:t>
            </w:r>
          </w:p>
        </w:tc>
        <w:tc>
          <w:tcPr>
            <w:tcW w:type="dxa" w:w="655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Deliverables</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2.1 — Buyer-Documentation &amp; RFP-Response Engine</w:t>
            </w:r>
          </w:p>
        </w:tc>
        <w:tc>
          <w:tcPr>
            <w:tcW w:type="dxa" w:w="65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Index FSVP plans, HARPC / preventive-control plans, lot COAs, NOP / kosher / halal certificates, allergen statements, packaging specs, and prior RFP responses. Stand up AI auto-drafting in the buyer’s exact format. Add the buyer-side conversational layer on algrointernational.com.</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2.2 — Multi-Origin Traceability + Tariff Signal Monitor</w:t>
            </w:r>
          </w:p>
        </w:tc>
        <w:tc>
          <w:tcPr>
            <w:tcW w:type="dxa" w:w="65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Stand up the digital chain of custody (input certificate to lot to product to buyer COA) across India, Thailand, and US-domestic supply. Wire the tariff &amp; trade signal monitor (USITC, India and Thailand commerce filings, freight, FX) into per-buyer cost-model proposals.</w:t>
            </w:r>
          </w:p>
        </w:tc>
      </w:tr>
    </w:tbl>
    <w:p>
      <w:pPr>
        <w:spacing w:after="0" w:before="160"/>
      </w:pPr>
      <w:r>
        <w:t xml:space="preserve"/>
      </w:r>
    </w:p>
    <w:p>
      <w:pPr>
        <w:pStyle w:val="Heading2"/>
        <w:keepNext/>
        <w:keepLines/>
        <w:spacing w:after="120" w:before="280"/>
      </w:pPr>
      <w:r>
        <w:rPr>
          <w:rFonts w:ascii="Open Sans" w:cs="Open Sans" w:eastAsia="Open Sans" w:hAnsi="Open Sans"/>
          <w:b/>
          <w:bCs/>
          <w:color w:val="F67D4B"/>
          <w:sz w:val="26"/>
          <w:szCs w:val="26"/>
        </w:rPr>
        <w:t xml:space="preserve">Phase 3 — Hold &amp; Expand (Days 181–270)</w:t>
      </w:r>
    </w:p>
    <w:p>
      <w:pPr>
        <w:spacing w:after="140" w:before="0" w:line="320"/>
        <w:jc w:val="both"/>
      </w:pPr>
      <w:r>
        <w:rPr>
          <w:rFonts w:ascii="Open Sans" w:cs="Open Sans" w:eastAsia="Open Sans" w:hAnsi="Open Sans"/>
          <w:b w:val="false"/>
          <w:bCs w:val="false"/>
          <w:i w:val="false"/>
          <w:iCs w:val="false"/>
          <w:color w:val="59595B"/>
          <w:sz w:val="22"/>
          <w:szCs w:val="22"/>
        </w:rPr>
        <w:t xml:space="preserve">Add the sales memory and account-renewal intelligence, then begin reusing the engine across Simply So and the BIEL parent export markets.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cantSplit/>
          <w:tblHeader/>
        </w:trPr>
        <w:tc>
          <w:tcPr>
            <w:tcW w:type="dxa" w:w="280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Milestone</w:t>
            </w:r>
          </w:p>
        </w:tc>
        <w:tc>
          <w:tcPr>
            <w:tcW w:type="dxa" w:w="655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Deliverables</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3.1 — Sales-Pipeline Memory + Renewal Intelligence</w:t>
            </w:r>
          </w:p>
        </w:tc>
        <w:tc>
          <w:tcPr>
            <w:tcW w:type="dxa" w:w="65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Index every buyer conversation, sample shipment, audit finding, and recipe-development discussion in the Weaviate + Obsidian memory layer. Add account-renewal intelligence — volume drift, price-hold expirations, audit-cycle triggers — and a per-account dashboard.</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3.2 — Portfolio Reuse Kickoff</w:t>
            </w:r>
          </w:p>
        </w:tc>
        <w:tc>
          <w:tcPr>
            <w:tcW w:type="dxa" w:w="65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Begin the reuse track: the same AEO authority and conversational layer for the Simply So consumer brand; the same documentation engine extended to support the BIEL parent’s 54-country export documentation. Deliver an ROI dashboard measured against the Section 15 baselines.</w:t>
            </w:r>
          </w:p>
        </w:tc>
      </w:tr>
    </w:tbl>
    <w:p>
      <w:pPr>
        <w:pStyle w:val="Heading1"/>
        <w:keepNext/>
        <w:pageBreakBefore/>
        <w:spacing w:after="120" w:before="0" w:line="240"/>
      </w:pPr>
      <w:r>
        <w:rPr>
          <w:rFonts w:ascii="Open Sans" w:cs="Open Sans" w:eastAsia="Open Sans" w:hAnsi="Open Sans"/>
          <w:color w:val="FFFFFF"/>
          <w:sz w:val="2"/>
          <w:szCs w:val="2"/>
        </w:rPr>
        <w:t xml:space="preserve">14  Quick Wins — Start This Week</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67D4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F67D4B"/>
                <w:sz w:val="34"/>
                <w:szCs w:val="34"/>
              </w:rPr>
              <w:t xml:space="preserve">14  Quick Wins — Start This Week</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Five actions Algro can take immediately — before any new Technijian engagement. Each creates value this week and leads naturally into the larger program.</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1 — Test AI-Search Visibility for Procurement Queries</w:t>
            </w:r>
          </w:p>
          <w:p>
            <w:pPr>
              <w:keepNext w:val="false"/>
              <w:keepLines/>
              <w:spacing w:after="60" w:before="40" w:line="300"/>
            </w:pPr>
            <w:r>
              <w:rPr>
                <w:rFonts w:ascii="Open Sans" w:cs="Open Sans" w:eastAsia="Open Sans" w:hAnsi="Open Sans"/>
                <w:color w:val="59595B"/>
                <w:sz w:val="20"/>
                <w:szCs w:val="20"/>
              </w:rPr>
              <w:t xml:space="preserve">Type the queries a real procurement researcher would type into ChatGPT, Perplexity, and Google AI: “USDA NOP certified organic basmati private-label supplier,” “FSMA-204-ready rice importer,” “USDA NOP IQF rice co-packer in California.” See whether Algro is cited; capture a screenshot baseline. It costs nothing and immediately sizes the AEO opportunity.</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2 — Publish One Tariff or FSMA Post on LinkedIn This Week</w:t>
            </w:r>
          </w:p>
          <w:p>
            <w:pPr>
              <w:keepNext w:val="false"/>
              <w:keepLines/>
              <w:spacing w:after="60" w:before="40" w:line="300"/>
            </w:pPr>
            <w:r>
              <w:rPr>
                <w:rFonts w:ascii="Open Sans" w:cs="Open Sans" w:eastAsia="Open Sans" w:hAnsi="Open Sans"/>
                <w:color w:val="59595B"/>
                <w:sz w:val="20"/>
                <w:szCs w:val="20"/>
              </w:rPr>
              <w:t xml:space="preserve">Have Deepak or Sinem publish a short, factual LinkedIn post on the 2025 tariff swing (10 percent → 50 percent → 18 percent) or the FSMA 204 extension to July 2028 and what it means for retail and foodservice supplier agreements. The category is uncovered; one post earns more inbound from procurement researchers than most paid campaigns.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3 — Inventory the Documentation Library in One Folder</w:t>
            </w:r>
          </w:p>
          <w:p>
            <w:pPr>
              <w:keepNext w:val="false"/>
              <w:keepLines/>
              <w:spacing w:after="60" w:before="40" w:line="300"/>
            </w:pPr>
            <w:r>
              <w:rPr>
                <w:rFonts w:ascii="Open Sans" w:cs="Open Sans" w:eastAsia="Open Sans" w:hAnsi="Open Sans"/>
                <w:color w:val="59595B"/>
                <w:sz w:val="20"/>
                <w:szCs w:val="20"/>
              </w:rPr>
              <w:t xml:space="preserve">Pull every FSVP plan, HARPC document, lot COA, organic certificate, kosher / halal letter, allergen statement, prior RFP response, and packaging spec into a single shared drive with a clean folder structure. This is the corpus the AI documentation engine will index — and it makes the next buyer audit faster on its own.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4 — Pick the Top 25 Named Accounts to Track First</w:t>
            </w:r>
          </w:p>
          <w:p>
            <w:pPr>
              <w:keepNext w:val="false"/>
              <w:keepLines/>
              <w:spacing w:after="60" w:before="40" w:line="300"/>
            </w:pPr>
            <w:r>
              <w:rPr>
                <w:rFonts w:ascii="Open Sans" w:cs="Open Sans" w:eastAsia="Open Sans" w:hAnsi="Open Sans"/>
                <w:color w:val="59595B"/>
                <w:sz w:val="20"/>
                <w:szCs w:val="20"/>
              </w:rPr>
              <w:t xml:space="preserve">Choose the twenty-five named accounts — across retail PL, foodservice, and industrial CPG — that matter most for the next twelve months. Note award cycle, current relationship temperature, and the named buyer if known. This is the seed list the named-account ABM intelligence will track from day one.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5 — Fix the 404s on algrointernational.com</w:t>
            </w:r>
          </w:p>
          <w:p>
            <w:pPr>
              <w:keepNext w:val="false"/>
              <w:keepLines/>
              <w:spacing w:after="60" w:before="40" w:line="300"/>
            </w:pPr>
            <w:r>
              <w:rPr>
                <w:rFonts w:ascii="Open Sans" w:cs="Open Sans" w:eastAsia="Open Sans" w:hAnsi="Open Sans"/>
                <w:color w:val="59595B"/>
                <w:sz w:val="20"/>
                <w:szCs w:val="20"/>
              </w:rPr>
              <w:t xml:space="preserve">The /about, /products, and /contact sub-routes return 404 (verified). Fix the broken links and add one short paragraph each on the company, the parent BIEL milling base since 1969, and how to reach the right person at each US facility. It costs an afternoon and lifts every other piece of inbound discovery work.</w:t>
            </w:r>
          </w:p>
        </w:tc>
      </w:tr>
    </w:tbl>
    <w:p>
      <w:pPr>
        <w:pStyle w:val="Heading1"/>
        <w:keepNext/>
        <w:pageBreakBefore/>
        <w:spacing w:after="120" w:before="0" w:line="240"/>
      </w:pPr>
      <w:r>
        <w:rPr>
          <w:rFonts w:ascii="Open Sans" w:cs="Open Sans" w:eastAsia="Open Sans" w:hAnsi="Open Sans"/>
          <w:color w:val="FFFFFF"/>
          <w:sz w:val="2"/>
          <w:szCs w:val="2"/>
        </w:rPr>
        <w:t xml:space="preserve">15  Questions to Calibrate This Plan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A1A2E"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A1A2E"/>
                <w:sz w:val="34"/>
                <w:szCs w:val="34"/>
              </w:rPr>
              <w:t xml:space="preserve">15  Questions to Calibrate This Plan</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This blueprint was built from public information. The numbers in Sections 12 and 13 are deliberately conservative estimates — a short discovery call replaces them with Algro’s real baselines and sharpens the entire program. These are the questions that move the model the most:</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4118"/>
        <w:gridCol w:w="2996"/>
      </w:tblGrid>
      <w:tr>
        <w:trPr>
          <w:cantSplit/>
          <w:tblHeader/>
        </w:trPr>
        <w:tc>
          <w:tcPr>
            <w:tcW w:type="dxa" w:w="224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Topic</w:t>
            </w:r>
          </w:p>
        </w:tc>
        <w:tc>
          <w:tcPr>
            <w:tcW w:type="dxa" w:w="411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We’d Confirm</w:t>
            </w:r>
          </w:p>
        </w:tc>
        <w:tc>
          <w:tcPr>
            <w:tcW w:type="dxa" w:w="299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Why It Matters</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Named-account roster</w:t>
            </w:r>
          </w:p>
        </w:tc>
        <w:tc>
          <w:tcPr>
            <w:tcW w:type="dxa" w:w="411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Which retail PL / foodservice / industrial CPG buyers are live, in-flight, or top-of-pipe</w:t>
            </w:r>
          </w:p>
        </w:tc>
        <w:tc>
          <w:tcPr>
            <w:tcW w:type="dxa" w:w="299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Calibrates the ROI math and seeds the ABM target list</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Average won-account value</w:t>
            </w:r>
          </w:p>
        </w:tc>
        <w:tc>
          <w:tcPr>
            <w:tcW w:type="dxa" w:w="411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Average first-year revenue per won account by persona</w:t>
            </w:r>
          </w:p>
        </w:tc>
        <w:tc>
          <w:tcPr>
            <w:tcW w:type="dxa" w:w="299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Replaces the $40K / $60K / $80K illustrative range</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RFP / RFI volume and win rate</w:t>
            </w:r>
          </w:p>
        </w:tc>
        <w:tc>
          <w:tcPr>
            <w:tcW w:type="dxa" w:w="411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RFPs per quarter, current response time, recent win rate</w:t>
            </w:r>
          </w:p>
        </w:tc>
        <w:tc>
          <w:tcPr>
            <w:tcW w:type="dxa" w:w="299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Sizes the documentation-velocity lever directly</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Documentation operations</w:t>
            </w:r>
          </w:p>
        </w:tc>
        <w:tc>
          <w:tcPr>
            <w:tcW w:type="dxa" w:w="411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How FSVP, HARPC, COA, and certificate library are kept today</w:t>
            </w:r>
          </w:p>
        </w:tc>
        <w:tc>
          <w:tcPr>
            <w:tcW w:type="dxa" w:w="299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Defines the build and integration surface</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Certifications at the US facility</w:t>
            </w:r>
          </w:p>
        </w:tc>
        <w:tc>
          <w:tcPr>
            <w:tcW w:type="dxa" w:w="411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GFSI (BRC / SQF / FSSC 22000), kosher (OU / OK / Star-K), halal (IFANCA / ISA)</w:t>
            </w:r>
          </w:p>
        </w:tc>
        <w:tc>
          <w:tcPr>
            <w:tcW w:type="dxa" w:w="299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Confirms what is buyer-ready vs. on the roadmap</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Current sales engine</w:t>
            </w:r>
          </w:p>
        </w:tc>
        <w:tc>
          <w:tcPr>
            <w:tcW w:type="dxa" w:w="411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CRM in use (HubSpot / Salesforce / Pipedrive / other), sales-team size, trade-show calendar</w:t>
            </w:r>
          </w:p>
        </w:tc>
        <w:tc>
          <w:tcPr>
            <w:tcW w:type="dxa" w:w="299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Defines the workflow and the data-handoff</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Tariff-exposure book</w:t>
            </w:r>
          </w:p>
        </w:tc>
        <w:tc>
          <w:tcPr>
            <w:tcW w:type="dxa" w:w="411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Recent cost shift from the 2025 Indian rice tariff swings; in-flight buyer renegotiations</w:t>
            </w:r>
          </w:p>
        </w:tc>
        <w:tc>
          <w:tcPr>
            <w:tcW w:type="dxa" w:w="299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Sizes the tariff signal monitor opportunity</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FSMA 204 posture</w:t>
            </w:r>
          </w:p>
        </w:tc>
        <w:tc>
          <w:tcPr>
            <w:tcW w:type="dxa" w:w="411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Which SKUs (IQF veg in particular) are on the FDA Food Traceability List; retailer pre-flight requirements</w:t>
            </w:r>
          </w:p>
        </w:tc>
        <w:tc>
          <w:tcPr>
            <w:tcW w:type="dxa" w:w="299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Confirms which traceability work is mandatory vs. preferred</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Simply So priority</w:t>
            </w:r>
          </w:p>
        </w:tc>
        <w:tc>
          <w:tcPr>
            <w:tcW w:type="dxa" w:w="411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Whether the consumer brand is a Year-1 ask or a Phase-3 reuse</w:t>
            </w:r>
          </w:p>
        </w:tc>
        <w:tc>
          <w:tcPr>
            <w:tcW w:type="dxa" w:w="299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Decides whether the engine includes a D2C track</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GDAP / M365</w:t>
            </w:r>
          </w:p>
        </w:tc>
        <w:tc>
          <w:tcPr>
            <w:tcW w:type="dxa" w:w="411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Whether Technijian can be granted GDAP for the M365 tenant</w:t>
            </w:r>
          </w:p>
        </w:tc>
        <w:tc>
          <w:tcPr>
            <w:tcW w:type="dxa" w:w="299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Lets the AI engine index the documentation library directly</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EAAC8"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EAAC8"/>
                <w:sz w:val="22"/>
                <w:szCs w:val="22"/>
              </w:rPr>
              <w:t xml:space="preserve">How to Use This Section</w:t>
            </w:r>
          </w:p>
          <w:p>
            <w:pPr>
              <w:keepNext/>
              <w:keepLines/>
              <w:spacing w:after="60" w:before="40" w:line="300"/>
            </w:pPr>
            <w:r>
              <w:rPr>
                <w:rFonts w:ascii="Open Sans" w:cs="Open Sans" w:eastAsia="Open Sans" w:hAnsi="Open Sans"/>
                <w:color w:val="59595B"/>
                <w:sz w:val="20"/>
                <w:szCs w:val="20"/>
              </w:rPr>
              <w:t xml:space="preserve">None of these questions block starting — the Quick Wins and the Phase 1 entry proceed regardless.</w:t>
            </w:r>
          </w:p>
          <w:p>
            <w:pPr>
              <w:keepNext/>
              <w:keepLines/>
              <w:spacing w:after="60" w:before="40" w:line="300"/>
            </w:pPr>
            <w:r>
              <w:rPr>
                <w:rFonts w:ascii="Open Sans" w:cs="Open Sans" w:eastAsia="Open Sans" w:hAnsi="Open Sans"/>
                <w:color w:val="59595B"/>
                <w:sz w:val="20"/>
                <w:szCs w:val="20"/>
              </w:rPr>
              <w:t xml:space="preserve">A single 30-minute call answers most of them and lets Technijian return a calibrated ROI model and a fixed-scope Statement of Work.</w:t>
            </w:r>
          </w:p>
          <w:p>
            <w:pPr>
              <w:keepNext w:val="false"/>
              <w:keepLines/>
              <w:spacing w:after="60" w:before="40" w:line="300"/>
            </w:pPr>
            <w:r>
              <w:rPr>
                <w:rFonts w:ascii="Open Sans" w:cs="Open Sans" w:eastAsia="Open Sans" w:hAnsi="Open Sans"/>
                <w:color w:val="59595B"/>
                <w:sz w:val="20"/>
                <w:szCs w:val="20"/>
              </w:rPr>
              <w:t xml:space="preserve">The goal is a plan built on Algro’s real numbers — not on our conservative estimates.</w:t>
            </w:r>
          </w:p>
        </w:tc>
      </w:tr>
    </w:tbl>
    <w:p>
      <w:pPr>
        <w:pStyle w:val="Heading1"/>
        <w:keepNext/>
        <w:pageBreakBefore/>
        <w:spacing w:after="120" w:before="0" w:line="240"/>
      </w:pPr>
      <w:r>
        <w:rPr>
          <w:rFonts w:ascii="Open Sans" w:cs="Open Sans" w:eastAsia="Open Sans" w:hAnsi="Open Sans"/>
          <w:color w:val="FFFFFF"/>
          <w:sz w:val="2"/>
          <w:szCs w:val="2"/>
        </w:rPr>
        <w:t xml:space="preserve">16  Questions We Usually Get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16  Questions We Usually Get</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honest answers to the questions Algro leadership is most likely asking right now.</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5850"/>
      </w:tblGrid>
      <w:tr>
        <w:trPr>
          <w:cantSplit/>
          <w:tblHeader/>
        </w:trPr>
        <w:tc>
          <w:tcPr>
            <w:tcW w:type="dxa" w:w="351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Question</w:t>
            </w:r>
          </w:p>
        </w:tc>
        <w:tc>
          <w:tcPr>
            <w:tcW w:type="dxa" w:w="585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Our Honest Answer</w:t>
            </w:r>
          </w:p>
        </w:tc>
      </w:tr>
      <w:tr>
        <w:trPr>
          <w:cantSplit/>
        </w:trPr>
        <w:tc>
          <w:tcPr>
            <w:tcW w:type="dxa" w:w="351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We already have a sales and marketing motion. Why add this?</w:t>
            </w:r>
          </w:p>
        </w:tc>
        <w:tc>
          <w:tcPr>
            <w:tcW w:type="dxa" w:w="585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Keep it — the relationships and trade-show work are doing their job. We add the layer they do not: AI-search authority (AEO) on procurement queries, the buyer-documentation engine that auto-drafts RFP responses, and the named-account intelligence a thirteen-person team cannot sustain by hand. We run alongside the existing motion, not over it.</w:t>
            </w:r>
          </w:p>
        </w:tc>
      </w:tr>
      <w:tr>
        <w:trPr>
          <w:cantSplit/>
        </w:trPr>
        <w:tc>
          <w:tcPr>
            <w:tcW w:type="dxa" w:w="351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Isn’t AI mostly hype right now?</w:t>
            </w:r>
          </w:p>
        </w:tc>
        <w:tc>
          <w:tcPr>
            <w:tcW w:type="dxa" w:w="585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lot of it is. That is why this blueprint starts with simple, proven automations that pay back fast — auto-drafting documentation, getting cited in AI search — not autonomous “agents” running the business. We use the simplest tool that works, measure it, and only expand what earns its place.</w:t>
            </w:r>
          </w:p>
        </w:tc>
      </w:tr>
      <w:tr>
        <w:trPr>
          <w:cantSplit/>
        </w:trPr>
        <w:tc>
          <w:tcPr>
            <w:tcW w:type="dxa" w:w="351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Is our data — certificates, COAs, buyer pricing, FSVP plans — safe?</w:t>
            </w:r>
          </w:p>
        </w:tc>
        <w:tc>
          <w:tcPr>
            <w:tcW w:type="dxa" w:w="585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Yes. Sensitive data never touches a public AI model; we deploy private, governed systems with human review on anything compliance-bound, led by a CISSP-certified team. You already trust Technijian on the IT and security side — this is the same discipline extended to the buyer-documentation work.</w:t>
            </w:r>
          </w:p>
        </w:tc>
      </w:tr>
      <w:tr>
        <w:trPr>
          <w:cantSplit/>
        </w:trPr>
        <w:tc>
          <w:tcPr>
            <w:tcW w:type="dxa" w:w="351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We’re a lean team. Do we have the bandwidth to manage this?</w:t>
            </w:r>
          </w:p>
        </w:tc>
        <w:tc>
          <w:tcPr>
            <w:tcW w:type="dxa" w:w="585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point is the opposite — to give the team back the hours the documentation tax consumes, not add work. Technijian runs the build and the cadence; your involvement is a short monthly strategy session plus reviewing what we draft. The fractional model means no new hire to manage.</w:t>
            </w:r>
          </w:p>
        </w:tc>
      </w:tr>
      <w:tr>
        <w:trPr>
          <w:cantSplit/>
        </w:trPr>
        <w:tc>
          <w:tcPr>
            <w:tcW w:type="dxa" w:w="351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What if it doesn’t work?</w:t>
            </w:r>
          </w:p>
        </w:tc>
        <w:tc>
          <w:tcPr>
            <w:tcW w:type="dxa" w:w="585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entry is a fixed-price 90-day pilot with a defined success metric (Section 12), month-to-month with no long lock-in. If it has not moved the needle by day 90, you are under no obligation to continue — and we will tell you honestly whether it is worth it.</w:t>
            </w:r>
          </w:p>
        </w:tc>
      </w:tr>
      <w:tr>
        <w:trPr>
          <w:cantSplit/>
        </w:trPr>
        <w:tc>
          <w:tcPr>
            <w:tcW w:type="dxa" w:w="351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What does it really cost?</w:t>
            </w:r>
          </w:p>
        </w:tc>
        <w:tc>
          <w:tcPr>
            <w:tcW w:type="dxa" w:w="585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entry pilot is approximately $32K for Year 1 at published rates — no hidden fees, no large up-front build. We also route AI across roughly seven models by task (Section 9), so the run cost stays a fraction of wiring everything to one premium model. The full engine (the later expansion) is profiled in Section 12, but only after the pilot proves the lift.</w:t>
            </w:r>
          </w:p>
        </w:tc>
      </w:tr>
    </w:tbl>
    <w:p>
      <w:pPr>
        <w:pStyle w:val="Heading1"/>
        <w:keepNext/>
        <w:pageBreakBefore/>
        <w:spacing w:after="120" w:before="0" w:line="240"/>
      </w:pPr>
      <w:r>
        <w:rPr>
          <w:rFonts w:ascii="Open Sans" w:cs="Open Sans" w:eastAsia="Open Sans" w:hAnsi="Open Sans"/>
          <w:color w:val="FFFFFF"/>
          <w:sz w:val="2"/>
          <w:szCs w:val="2"/>
        </w:rPr>
        <w:t xml:space="preserve">17  What Happens Next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A1A2E"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A1A2E"/>
                <w:sz w:val="34"/>
                <w:szCs w:val="34"/>
              </w:rPr>
              <w:t xml:space="preserve">17  What Happens Next</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Algro already has the hard things: the parent-company milling base since 1969, the US-arm specialty product line, the USDA NOP organic certification, three certified North American facilities, and an existing Technijian managed-services and cybersecurity relationship. What it has not yet done is add the AI buyer-experience layer that decides which supplier responds to the next big RFP in days instead of weeks — and that is where this program starts.</w:t>
      </w:r>
    </w:p>
    <w:p>
      <w:pPr>
        <w:spacing w:after="140" w:before="0" w:line="320"/>
        <w:jc w:val="both"/>
      </w:pPr>
      <w:r>
        <w:rPr>
          <w:rFonts w:ascii="Open Sans" w:cs="Open Sans" w:eastAsia="Open Sans" w:hAnsi="Open Sans"/>
          <w:b w:val="false"/>
          <w:bCs w:val="false"/>
          <w:i w:val="false"/>
          <w:iCs w:val="false"/>
          <w:color w:val="59595B"/>
          <w:sz w:val="22"/>
          <w:szCs w:val="22"/>
        </w:rPr>
        <w:t xml:space="preserve">The opportunity is concrete: get cited and discovered as the supplier procurement finds first, win the buyer documentation race by auto-drafting responses against an indexed library in the buyer’s exact format, and hold the account and expand by watching renewal triggers proactively and reusing the same engine across Simply So and the BIEL parent export. A focused, account-based program does all three — and it stays inside the food-safety, antitrust, and pricing boundaries that decide which AI is even safe to deploy in this category.</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Recommended Next Steps</w:t>
            </w:r>
          </w:p>
          <w:p>
            <w:pPr>
              <w:keepNext/>
              <w:keepLines/>
              <w:spacing w:after="60" w:before="40" w:line="300"/>
            </w:pPr>
            <w:r>
              <w:rPr>
                <w:rFonts w:ascii="Open Sans" w:cs="Open Sans" w:eastAsia="Open Sans" w:hAnsi="Open Sans"/>
                <w:color w:val="59595B"/>
                <w:sz w:val="20"/>
                <w:szCs w:val="20"/>
              </w:rPr>
              <w:t xml:space="preserve">Step 1: A 30-minute discovery call to answer the Section 15 questions and confirm program scope.</w:t>
            </w:r>
          </w:p>
          <w:p>
            <w:pPr>
              <w:keepNext/>
              <w:keepLines/>
              <w:spacing w:after="60" w:before="40" w:line="300"/>
            </w:pPr>
            <w:r>
              <w:rPr>
                <w:rFonts w:ascii="Open Sans" w:cs="Open Sans" w:eastAsia="Open Sans" w:hAnsi="Open Sans"/>
                <w:color w:val="59595B"/>
                <w:sz w:val="20"/>
                <w:szCs w:val="20"/>
              </w:rPr>
              <w:t xml:space="preserve">Step 2: Technijian returns a calibrated ROI model and a fixed-scope Statement of Work within 5 business days.</w:t>
            </w:r>
          </w:p>
          <w:p>
            <w:pPr>
              <w:keepNext w:val="false"/>
              <w:keepLines/>
              <w:spacing w:after="60" w:before="40" w:line="300"/>
            </w:pPr>
            <w:r>
              <w:rPr>
                <w:rFonts w:ascii="Open Sans" w:cs="Open Sans" w:eastAsia="Open Sans" w:hAnsi="Open Sans"/>
                <w:color w:val="59595B"/>
                <w:sz w:val="20"/>
                <w:szCs w:val="20"/>
              </w:rPr>
              <w:t xml:space="preserve">Step 3: Phase 1 kickoff — AEO authority, named-account ABM intelligence, and the strategy workshop — live inside 30 days of signature, with no large build required to start.</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6DB6" w:val="clear"/>
            <w:tcMar>
              <w:top w:type="dxa" w:w="300"/>
              <w:left w:type="dxa" w:w="400"/>
              <w:bottom w:type="dxa" w:w="300"/>
              <w:right w:type="dxa" w:w="400"/>
            </w:tcMar>
          </w:tcPr>
          <w:p>
            <w:pPr>
              <w:spacing w:after="100"/>
              <w:jc w:val="center"/>
            </w:pPr>
            <w:r>
              <w:rPr>
                <w:rFonts w:ascii="Open Sans" w:cs="Open Sans" w:eastAsia="Open Sans" w:hAnsi="Open Sans"/>
                <w:b/>
                <w:bCs/>
                <w:color w:val="FFFFFF"/>
                <w:sz w:val="26"/>
                <w:szCs w:val="26"/>
              </w:rPr>
              <w:t xml:space="preserve">Ready to respond to the next RFP in days, not weeks?</w:t>
            </w:r>
          </w:p>
          <w:p>
            <w:pPr>
              <w:spacing w:after="80"/>
              <w:jc w:val="center"/>
            </w:pPr>
            <w:r>
              <w:rPr>
                <w:rFonts w:ascii="Open Sans" w:cs="Open Sans" w:eastAsia="Open Sans" w:hAnsi="Open Sans"/>
                <w:color w:val="FFFFFF"/>
                <w:sz w:val="22"/>
                <w:szCs w:val="22"/>
              </w:rPr>
              <w:t xml:space="preserve">Contact Ravi Jain, Technijian  |  RJain@technijian.com  |  949.379.8500</w:t>
            </w:r>
          </w:p>
          <w:p>
            <w:pPr>
              <w:jc w:val="center"/>
            </w:pPr>
            <w:r>
              <w:rPr>
                <w:rFonts w:ascii="Open Sans" w:cs="Open Sans" w:eastAsia="Open Sans" w:hAnsi="Open Sans"/>
                <w:color w:val="FFFFFF"/>
                <w:sz w:val="20"/>
                <w:szCs w:val="20"/>
              </w:rPr>
              <w:t xml:space="preserve">technijian.com  |  Irvine, CA</w:t>
            </w:r>
          </w:p>
        </w:tc>
      </w:tr>
    </w:tbl>
    <w:p>
      <w:pPr>
        <w:pStyle w:val="Heading1"/>
        <w:keepNext/>
        <w:pageBreakBefore/>
        <w:spacing w:after="120" w:before="0" w:line="240"/>
      </w:pPr>
      <w:r>
        <w:rPr>
          <w:rFonts w:ascii="Open Sans" w:cs="Open Sans" w:eastAsia="Open Sans" w:hAnsi="Open Sans"/>
          <w:color w:val="FFFFFF"/>
          <w:sz w:val="2"/>
          <w:szCs w:val="2"/>
        </w:rPr>
        <w:t xml:space="preserve">18  About Technijian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59595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59595B"/>
                <w:sz w:val="34"/>
                <w:szCs w:val="34"/>
              </w:rPr>
              <w:t xml:space="preserve">18  About Technijian</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Technijian is an AI-native managed services and technology firm headquartered in Irvine, California, serving small and mid-sized businesses since 2000. We build and operate the AI systems that help right-sized operators compete at scale — with security and compliance built in, not bolted on. Algro is an existing Technijian managed-services and cybersecurity client; this blueprint is the expansion into the AI buyer-experience layer.</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74"/>
        <w:gridCol w:w="6686"/>
      </w:tblGrid>
      <w:tr>
        <w:trPr>
          <w:cantSplit/>
          <w:tblHeader/>
        </w:trPr>
        <w:tc>
          <w:tcPr>
            <w:tcW w:type="dxa" w:w="267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Service</w:t>
            </w:r>
          </w:p>
        </w:tc>
        <w:tc>
          <w:tcPr>
            <w:tcW w:type="dxa" w:w="668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It Delivers for Algro</w:t>
            </w:r>
          </w:p>
        </w:tc>
      </w:tr>
      <w:tr>
        <w:trPr>
          <w:cantSplit/>
        </w:trPr>
        <w:tc>
          <w:tcPr>
            <w:tcW w:type="dxa" w:w="267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w:t>
            </w:r>
          </w:p>
        </w:tc>
        <w:tc>
          <w:tcPr>
            <w:tcW w:type="dxa" w:w="668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Custom AI-native builds — the buyer-documentation and RFP-response engine, multi-origin traceability layer, tariff signal monitor, and the buyer-side conversational layer, owned by Algro</w:t>
            </w:r>
          </w:p>
        </w:tc>
      </w:tr>
      <w:tr>
        <w:trPr>
          <w:cantSplit/>
        </w:trPr>
        <w:tc>
          <w:tcPr>
            <w:tcW w:type="dxa" w:w="267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w:t>
            </w:r>
          </w:p>
        </w:tc>
        <w:tc>
          <w:tcPr>
            <w:tcW w:type="dxa" w:w="668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AI-search authority (AEO), reputation management, and the under-covered tariff / FSMA / multi-origin compliance category content</w:t>
            </w:r>
          </w:p>
        </w:tc>
      </w:tr>
      <w:tr>
        <w:trPr>
          <w:cantSplit/>
        </w:trPr>
        <w:tc>
          <w:tcPr>
            <w:tcW w:type="dxa" w:w="267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Lead Gen</w:t>
            </w:r>
          </w:p>
        </w:tc>
        <w:tc>
          <w:tcPr>
            <w:tcW w:type="dxa" w:w="668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Named-account ABM intelligence — track retail PL, foodservice, and industrial CPG buyers; trigger monitoring; account dossiers</w:t>
            </w:r>
          </w:p>
        </w:tc>
      </w:tr>
      <w:tr>
        <w:trPr>
          <w:cantSplit/>
        </w:trPr>
        <w:tc>
          <w:tcPr>
            <w:tcW w:type="dxa" w:w="267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w:t>
            </w:r>
          </w:p>
        </w:tc>
        <w:tc>
          <w:tcPr>
            <w:tcW w:type="dxa" w:w="668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strategy and builds — fractional AI advisor, model performance review, and program leadership with food-safety and antitrust governance throughout</w:t>
            </w:r>
          </w:p>
        </w:tc>
      </w:tr>
      <w:tr>
        <w:trPr>
          <w:cantSplit/>
        </w:trPr>
        <w:tc>
          <w:tcPr>
            <w:tcW w:type="dxa" w:w="267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Security</w:t>
            </w:r>
          </w:p>
        </w:tc>
        <w:tc>
          <w:tcPr>
            <w:tcW w:type="dxa" w:w="668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Existing engagement (Huntress + CrowdStrike + Client Portal); extends to applicant and buyer-PII governance behind every AI workflow</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cantSplit/>
          <w:tblHeader/>
        </w:trPr>
        <w:tc>
          <w:tcPr>
            <w:tcW w:type="dxa" w:w="312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Contact</w:t>
            </w:r>
          </w:p>
        </w:tc>
        <w:tc>
          <w:tcPr>
            <w:tcW w:type="dxa" w:w="624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Detail</w:t>
            </w:r>
          </w:p>
        </w:tc>
      </w:tr>
      <w:tr>
        <w:trPr>
          <w:cantSplit/>
        </w:trPr>
        <w:tc>
          <w:tcPr>
            <w:tcW w:type="dxa" w:w="31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Account Executive</w:t>
            </w:r>
          </w:p>
        </w:tc>
        <w:tc>
          <w:tcPr>
            <w:tcW w:type="dxa" w:w="62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Ravi Jain — RJain@technijian.com</w:t>
            </w:r>
          </w:p>
        </w:tc>
      </w:tr>
      <w:tr>
        <w:trPr>
          <w:cantSplit/>
        </w:trPr>
        <w:tc>
          <w:tcPr>
            <w:tcW w:type="dxa" w:w="31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Office</w:t>
            </w:r>
          </w:p>
        </w:tc>
        <w:tc>
          <w:tcPr>
            <w:tcW w:type="dxa" w:w="62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18 Technology Dr., Suite 141, Irvine, CA 92618</w:t>
            </w:r>
          </w:p>
        </w:tc>
      </w:tr>
      <w:tr>
        <w:trPr>
          <w:cantSplit/>
        </w:trPr>
        <w:tc>
          <w:tcPr>
            <w:tcW w:type="dxa" w:w="31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Phone</w:t>
            </w:r>
          </w:p>
        </w:tc>
        <w:tc>
          <w:tcPr>
            <w:tcW w:type="dxa" w:w="62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(949) 379-8500</w:t>
            </w:r>
          </w:p>
        </w:tc>
      </w:tr>
      <w:tr>
        <w:trPr>
          <w:cantSplit/>
        </w:trPr>
        <w:tc>
          <w:tcPr>
            <w:tcW w:type="dxa" w:w="31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Web</w:t>
            </w:r>
          </w:p>
        </w:tc>
        <w:tc>
          <w:tcPr>
            <w:tcW w:type="dxa" w:w="62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technijian.com</w:t>
            </w:r>
          </w:p>
        </w:tc>
      </w:tr>
    </w:tbl>
    <w:p>
      <w:pPr>
        <w:pStyle w:val="Heading1"/>
        <w:keepNext/>
        <w:pageBreakBefore/>
        <w:spacing w:after="120" w:before="0" w:line="240"/>
      </w:pPr>
      <w:r>
        <w:rPr>
          <w:rFonts w:ascii="Open Sans" w:cs="Open Sans" w:eastAsia="Open Sans" w:hAnsi="Open Sans"/>
          <w:color w:val="FFFFFF"/>
          <w:sz w:val="2"/>
          <w:szCs w:val="2"/>
        </w:rPr>
        <w:t xml:space="preserve">A  Appendix — Sources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59595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59595B"/>
                <w:sz w:val="34"/>
                <w:szCs w:val="34"/>
              </w:rPr>
              <w:t xml:space="preserve">A  Appendix — Sources</w:t>
            </w:r>
          </w:p>
        </w:tc>
      </w:tr>
    </w:tbl>
    <w:p>
      <w:pPr>
        <w:spacing w:after="0" w:before="100"/>
      </w:pPr>
      <w:r>
        <w:t xml:space="preserve"/>
      </w:r>
    </w:p>
    <w:p>
      <w:pPr>
        <w:spacing w:after="140" w:before="0" w:line="320"/>
        <w:jc w:val="both"/>
      </w:pPr>
      <w:r>
        <w:rPr>
          <w:rFonts w:ascii="Open Sans" w:cs="Open Sans" w:eastAsia="Open Sans" w:hAnsi="Open Sans"/>
          <w:b w:val="false"/>
          <w:bCs w:val="false"/>
          <w:i/>
          <w:iCs/>
          <w:color w:val="59595B"/>
          <w:sz w:val="22"/>
          <w:szCs w:val="22"/>
        </w:rPr>
        <w:t xml:space="preserve">Market and category intelligence gathered via public web research conducted May 2026. Company details (founding, locations, product lines, certifications, and leadership) are drawn from public sources and Algro’s own website and should be confirmed with Algro before external use.</w:t>
      </w:r>
    </w:p>
    <w:p>
      <w:pPr>
        <w:spacing w:after="0" w:before="120"/>
      </w:pPr>
      <w:r>
        <w:t xml:space="preserve"/>
      </w:r>
    </w:p>
    <w:p>
      <w:pPr>
        <w:spacing w:after="140" w:before="0" w:line="320"/>
        <w:jc w:val="both"/>
      </w:pPr>
      <w:r>
        <w:rPr>
          <w:rFonts w:ascii="Open Sans" w:cs="Open Sans" w:eastAsia="Open Sans" w:hAnsi="Open Sans"/>
          <w:b w:val="false"/>
          <w:bCs w:val="false"/>
          <w:i w:val="false"/>
          <w:iCs w:val="false"/>
          <w:color w:val="59595B"/>
          <w:sz w:val="20"/>
          <w:szCs w:val="20"/>
        </w:rPr>
        <w:t xml:space="preserve">1. Algro International — algrointernational.com (home, what-we-offer/specialty-rice-and-grains, what-we-offer/ready-to-serve-rice-grains, what-we-offer/organic-rice). Specialty, organic, ready-to-serve, instant, and IQF lines.</w:t>
      </w:r>
    </w:p>
    <w:p>
      <w:pPr>
        <w:spacing w:after="140" w:before="0" w:line="320"/>
        <w:jc w:val="both"/>
      </w:pPr>
      <w:r>
        <w:rPr>
          <w:rFonts w:ascii="Open Sans" w:cs="Open Sans" w:eastAsia="Open Sans" w:hAnsi="Open Sans"/>
          <w:b w:val="false"/>
          <w:bCs w:val="false"/>
          <w:i w:val="false"/>
          <w:iCs w:val="false"/>
          <w:color w:val="59595B"/>
          <w:sz w:val="20"/>
          <w:szCs w:val="20"/>
        </w:rPr>
        <w:t xml:space="preserve">2. Simply So Foods — simplysofoods.com (home, our-products). Organic basmati, jasmine, brown, cilantro lime, turmati basmati with cumin, Thai medley — the Algro / Deepak Bansal consumer brand.</w:t>
      </w:r>
    </w:p>
    <w:p>
      <w:pPr>
        <w:spacing w:after="140" w:before="0" w:line="320"/>
        <w:jc w:val="both"/>
      </w:pPr>
      <w:r>
        <w:rPr>
          <w:rFonts w:ascii="Open Sans" w:cs="Open Sans" w:eastAsia="Open Sans" w:hAnsi="Open Sans"/>
          <w:b w:val="false"/>
          <w:bCs w:val="false"/>
          <w:i w:val="false"/>
          <w:iCs w:val="false"/>
          <w:color w:val="59595B"/>
          <w:sz w:val="20"/>
          <w:szCs w:val="20"/>
        </w:rPr>
        <w:t xml:space="preserve">3. Parent company — Bharat Industrial Enterprises Ltd / BIEL (bielfood.com); founded 1969; Karnal / Taraori, Haryana, India; milling capacity publicly cited at 12 metric tonnes per hour at the factory and at higher figures across trade-show / import-export directory listings; ISO 22000, GMP, HACCP, BRC; exports to more than 54 countries; Gulfood 2025 exhibitor.</w:t>
      </w:r>
    </w:p>
    <w:p>
      <w:pPr>
        <w:spacing w:after="140" w:before="0" w:line="320"/>
        <w:jc w:val="both"/>
      </w:pPr>
      <w:r>
        <w:rPr>
          <w:rFonts w:ascii="Open Sans" w:cs="Open Sans" w:eastAsia="Open Sans" w:hAnsi="Open Sans"/>
          <w:b w:val="false"/>
          <w:bCs w:val="false"/>
          <w:i w:val="false"/>
          <w:iCs w:val="false"/>
          <w:color w:val="59595B"/>
          <w:sz w:val="20"/>
          <w:szCs w:val="20"/>
        </w:rPr>
        <w:t xml:space="preserve">4. Certifications — CCOF / USDA NOP organic processor-handler certificate for Algro International LLC (client code PR2333; original issue 2020-04-29; US/Canada Equivalence 2023-07-28). Certified products include Arborio, Basmati, Jasmine, Long Grain Brown, Long Grain White, Prepared, Wild rice and IQF Vegetables. CCOF point of contact: Sinem Eren, Manager Food Safety &amp; Quality Assurance.</w:t>
      </w:r>
    </w:p>
    <w:p>
      <w:pPr>
        <w:spacing w:after="140" w:before="0" w:line="320"/>
        <w:jc w:val="both"/>
      </w:pPr>
      <w:r>
        <w:rPr>
          <w:rFonts w:ascii="Open Sans" w:cs="Open Sans" w:eastAsia="Open Sans" w:hAnsi="Open Sans"/>
          <w:b w:val="false"/>
          <w:bCs w:val="false"/>
          <w:i w:val="false"/>
          <w:iCs w:val="false"/>
          <w:color w:val="59595B"/>
          <w:sz w:val="20"/>
          <w:szCs w:val="20"/>
        </w:rPr>
        <w:t xml:space="preserve">5. Competitors — LT Foods (Daawat / Royal), KRBL (India Gate), Olam Agri, Riviana Foods (Ebro Foods — Mahatma, Carolina, Success, Minute), Tilda (Ebro), Kohinoor Foods, Amira Nature Foods, Authentic Royal / Authentic Foods Group, Shri Lal Mahal, Chaman Lal Setia, Veer Overseas, Patanjali Rice. Indirect: Riceland Foods, American Commodity Co, Producers Rice Mill.</w:t>
      </w:r>
    </w:p>
    <w:p>
      <w:pPr>
        <w:spacing w:after="140" w:before="0" w:line="320"/>
        <w:jc w:val="both"/>
      </w:pPr>
      <w:r>
        <w:rPr>
          <w:rFonts w:ascii="Open Sans" w:cs="Open Sans" w:eastAsia="Open Sans" w:hAnsi="Open Sans"/>
          <w:b w:val="false"/>
          <w:bCs w:val="false"/>
          <w:i w:val="false"/>
          <w:iCs w:val="false"/>
          <w:color w:val="59595B"/>
          <w:sz w:val="20"/>
          <w:szCs w:val="20"/>
        </w:rPr>
        <w:t xml:space="preserve">6. Tariff and trade — 2025 US tariffs on Indian basmati: 10 percent base → 50 percent escalation → 18 percent settled following the India–US trade deal in early 2026. Sources: Indian Rice Exporters Federation commentary; Open the Magazine; Rice News Today; Indian News Network; StratNews Global. India Apr–Nov 2025 basmati exports to the US: ~199,558 tonnes / ~Rs 1,749.17 crore.</w:t>
      </w:r>
    </w:p>
    <w:p>
      <w:pPr>
        <w:spacing w:after="140" w:before="0" w:line="320"/>
        <w:jc w:val="both"/>
      </w:pPr>
      <w:r>
        <w:rPr>
          <w:rFonts w:ascii="Open Sans" w:cs="Open Sans" w:eastAsia="Open Sans" w:hAnsi="Open Sans"/>
          <w:b w:val="false"/>
          <w:bCs w:val="false"/>
          <w:i w:val="false"/>
          <w:iCs w:val="false"/>
          <w:color w:val="59595B"/>
          <w:sz w:val="20"/>
          <w:szCs w:val="20"/>
        </w:rPr>
        <w:t xml:space="preserve">7. Regulation — FDA FSMA Section 204 Food Traceability Rule (original compliance 2026-01-20; proposed 30-month extension Aug 2025; codified by Continuing Appropriations Act Nov 2025 — no enforcement before 2028-07-20). Foreign Supplier Verification Program (FSVP) and HARPC preventive controls. USDA NOP organic chain of custody. Buyer-mandated GFSI (BRC / SQF / FSSC 22000), kosher (OU / OK / Star-K), halal (IFANCA / ISA / HMA) certifications.</w:t>
      </w:r>
    </w:p>
    <w:p>
      <w:pPr>
        <w:spacing w:after="140" w:before="0" w:line="320"/>
        <w:jc w:val="both"/>
      </w:pPr>
      <w:r>
        <w:rPr>
          <w:rFonts w:ascii="Open Sans" w:cs="Open Sans" w:eastAsia="Open Sans" w:hAnsi="Open Sans"/>
          <w:b w:val="false"/>
          <w:bCs w:val="false"/>
          <w:i w:val="false"/>
          <w:iCs w:val="false"/>
          <w:color w:val="59595B"/>
          <w:sz w:val="20"/>
          <w:szCs w:val="20"/>
        </w:rPr>
        <w:t xml:space="preserve">8. AI category context — RFP and document automation (RFPIO/Responsive.io, Loopio); food-safety / traceability (Wherefour, ReposiTrak, FoodLogiQ/Trustwell, Safefood 360, IBM Food Trust); trade-signal (Avalara Trade Tariff Console, Thomson Reuters ONESOURCE Global Trade); ABM (Apollo, 6sense, Demandbase); horizontal conversational AI (Drift, Intercom, Tidio).</w:t>
      </w:r>
    </w:p>
    <w:p>
      <w:pPr>
        <w:spacing w:after="140" w:before="0" w:line="320"/>
        <w:jc w:val="both"/>
      </w:pPr>
      <w:r>
        <w:rPr>
          <w:rFonts w:ascii="Open Sans" w:cs="Open Sans" w:eastAsia="Open Sans" w:hAnsi="Open Sans"/>
          <w:b w:val="false"/>
          <w:bCs w:val="false"/>
          <w:i w:val="false"/>
          <w:iCs w:val="false"/>
          <w:color w:val="59595B"/>
          <w:sz w:val="20"/>
          <w:szCs w:val="20"/>
        </w:rPr>
        <w:t xml:space="preserve">9. Internal — annual-client-review vault conversation logs 2026-04-29 and 2026-05-04: existing Technijian MSP relationship (Client Portal + Huntress + CrowdStrike), 42 time entries in April 2026, primary contact Deepak Bansal.</w:t>
      </w:r>
    </w:p>
    <w:p>
      <w:pPr>
        <w:spacing w:after="140" w:before="0" w:line="320"/>
        <w:jc w:val="both"/>
      </w:pPr>
      <w:r>
        <w:rPr>
          <w:rFonts w:ascii="Open Sans" w:cs="Open Sans" w:eastAsia="Open Sans" w:hAnsi="Open Sans"/>
          <w:b w:val="false"/>
          <w:bCs w:val="false"/>
          <w:i w:val="false"/>
          <w:iCs w:val="false"/>
          <w:color w:val="59595B"/>
          <w:sz w:val="20"/>
          <w:szCs w:val="20"/>
        </w:rPr>
        <w:t xml:space="preserve">10. Technijian service pricing — My AI Lead Gen (Starter $1,499 / Professional $3,499 / Enterprise $6,999), My AI, My SEO, My Dev, and My Security rate cards.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80"/>
      <w:jc w:val="center"/>
    </w:pPr>
    <w:r>
      <w:rPr>
        <w:rFonts w:ascii="Open Sans" w:cs="Open Sans" w:eastAsia="Open Sans" w:hAnsi="Open Sans"/>
        <w:color w:val="59595B"/>
        <w:sz w:val="16"/>
        <w:szCs w:val="16"/>
      </w:rPr>
      <w:t xml:space="preserve">Technijian  |  18 Technology Dr., Ste 141, Irvine, CA 92618  |  949.379.8500  |  technijian.com  |  Page </w:t>
    </w:r>
    <w:r>
      <w:rPr>
        <w:rFonts w:ascii="Open Sans" w:cs="Open Sans" w:eastAsia="Open Sans" w:hAnsi="Open Sans"/>
        <w:color w:val="59595B"/>
        <w:sz w:val="16"/>
        <w:szCs w:val="16"/>
      </w:rPr>
      <w:fldChar w:fldCharType="begin"/>
      <w:instrText xml:space="preserve">PAGE</w:instrText>
      <w:fldChar w:fldCharType="separate"/>
      <w:fldChar w:fldCharType="end"/>
    </w:r>
    <w:r>
      <w:rPr>
        <w:rFonts w:ascii="Open Sans" w:cs="Open Sans" w:eastAsia="Open Sans" w:hAnsi="Open Sans"/>
        <w:color w:val="59595B"/>
        <w:sz w:val="16"/>
        <w:szCs w:val="16"/>
      </w:rPr>
      <w:t xml:space="preserve"> of </w:t>
    </w:r>
    <w:r>
      <w:rPr>
        <w:rFonts w:ascii="Open Sans" w:cs="Open Sans" w:eastAsia="Open Sans" w:hAnsi="Open Sans"/>
        <w:color w:val="59595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Borders>
            <w:top w:val="none" w:color="FFFFFF" w:sz="0"/>
            <w:left w:val="none" w:color="FFFFFF" w:sz="0"/>
            <w:bottom w:val="none" w:color="FFFFFF" w:sz="0"/>
            <w:right w:val="none" w:color="FFFFFF" w:sz="0"/>
          </w:tcBorders>
        </w:tcPr>
        <w:p>
          <w:r>
            <w:drawing>
              <wp:inline distT="0" distB="0" distL="0" distR="0">
                <wp:extent cx="15240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524000" cy="323850"/>
                        </a:xfrm>
                        <a:prstGeom prst="rect">
                          <a:avLst/>
                        </a:prstGeom>
                      </pic:spPr>
                    </pic:pic>
                  </a:graphicData>
                </a:graphic>
              </wp:inline>
            </w:drawing>
          </w:r>
        </w:p>
      </w:tc>
      <w:tc>
        <w:tcPr>
          <w:tcBorders>
            <w:top w:val="none" w:color="FFFFFF" w:sz="0"/>
            <w:left w:val="none" w:color="FFFFFF" w:sz="0"/>
            <w:bottom w:val="single" w:color="006DB6" w:sz="6"/>
            <w:right w:val="none" w:color="FFFFFF" w:sz="0"/>
          </w:tcBorders>
          <w:vAlign w:val="bottom"/>
        </w:tcPr>
        <w:p>
          <w:pPr>
            <w:jc w:val="right"/>
          </w:pPr>
          <w:r>
            <w:rPr>
              <w:rFonts w:ascii="Open Sans" w:cs="Open Sans" w:eastAsia="Open Sans" w:hAnsi="Open Sans"/>
              <w:color w:val="59595B"/>
              <w:sz w:val="16"/>
              <w:szCs w:val="16"/>
            </w:rPr>
            <w:t xml:space="preserve">AI-Driven Growth Blueprint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rPr>
        <w:rFonts w:ascii="Symbol" w:cs="Symbol" w:eastAsia="Symbol" w:hAnsi="Symbol"/>
        <w:color w:val="006DB6"/>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59595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ageBreakBefore/>
      <w:spacing w:after="120" w:before="0"/>
      <w:outlineLvl w:val="0"/>
    </w:pPr>
    <w:rPr>
      <w:rFonts w:ascii="Open Sans" w:cs="Open Sans" w:eastAsia="Open Sans" w:hAnsi="Open Sans"/>
      <w:b/>
      <w:bCs/>
      <w:color w:val="FFFFFF"/>
      <w:sz w:val="2"/>
      <w:szCs w:val="2"/>
    </w:rPr>
  </w:style>
  <w:style w:type="paragraph" w:styleId="Heading2">
    <w:name w:val="Heading 2"/>
    <w:basedOn w:val="Normal"/>
    <w:next w:val="Normal"/>
    <w:pPr>
      <w:spacing w:after="120" w:before="280"/>
      <w:outlineLvl w:val="1"/>
    </w:pPr>
    <w:rPr>
      <w:rFonts w:ascii="Open Sans" w:cs="Open Sans" w:eastAsia="Open Sans" w:hAnsi="Open Sans"/>
      <w:b/>
      <w:bCs/>
      <w:color w:val="006DB6"/>
      <w:sz w:val="26"/>
      <w:szCs w:val="26"/>
    </w:rPr>
  </w:style>
  <w:style w:type="paragraph" w:styleId="Heading3">
    <w:name w:val="Heading 3"/>
    <w:basedOn w:val="Normal"/>
    <w:next w:val="Normal"/>
    <w:pPr>
      <w:spacing w:after="80" w:before="220"/>
      <w:outlineLvl w:val="2"/>
    </w:pPr>
    <w:rPr>
      <w:rFonts w:ascii="Open Sans" w:cs="Open Sans" w:eastAsia="Open Sans" w:hAnsi="Open Sans"/>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da411e2cba4fb0a0de5b42d0cbf546939e758dd.png"/><Relationship Id="rId10" Type="http://schemas.openxmlformats.org/officeDocument/2006/relationships/image" Target="media/ee7821fdd8a62e1f5706345b79897541e8a16643.png"/><Relationship Id="rId11" Type="http://schemas.openxmlformats.org/officeDocument/2006/relationships/image" Target="media/ced1d825d7d3aaf8204cb37b7c6c5d513f16ea08.png"/><Relationship Id="rId12" Type="http://schemas.openxmlformats.org/officeDocument/2006/relationships/image" Target="media/d80e127aecfe478ebbb6e3ed15c6b0f29d54a977.png"/><Relationship Id="rId13" Type="http://schemas.openxmlformats.org/officeDocument/2006/relationships/image" Target="media/f1d280090ebefe7cd738cd97273118f55d873770.png"/><Relationship Id="rId14" Type="http://schemas.openxmlformats.org/officeDocument/2006/relationships/image" Target="media/a4e63ba529ea34b7619e936616e4fed2c6696027.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da411e2cba4fb0a0de5b42d0cbf546939e758d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2026-06-11T04:27:21.704Z</dcterms:created>
  <dcterms:modified xsi:type="dcterms:W3CDTF">2026-06-11T04:27:21.706Z</dcterms:modified>
</cp:coreProperties>
</file>

<file path=docProps/custom.xml><?xml version="1.0" encoding="utf-8"?>
<Properties xmlns="http://schemas.openxmlformats.org/officeDocument/2006/custom-properties" xmlns:vt="http://schemas.openxmlformats.org/officeDocument/2006/docPropsVTypes"/>
</file>