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48"/>
          <w:szCs w:val="48"/>
        </w:rPr>
        <w:t xml:space="preserve">ANDERSON REAL ESTATE</w:t>
      </w:r>
    </w:p>
    <w:p>
      <w:pPr>
        <w:spacing w:after="80"/>
        <w:jc w:val="center"/>
      </w:pPr>
      <w:r>
        <w:rPr>
          <w:rFonts w:ascii="Open Sans" w:cs="Open Sans" w:eastAsia="Open Sans" w:hAnsi="Open Sans"/>
          <w:color w:val="59595B"/>
          <w:sz w:val="24"/>
          <w:szCs w:val="24"/>
        </w:rPr>
        <w:t xml:space="preserve">A family-owned commercial portfolio  ·  Century City, Los Angeles</w:t>
      </w:r>
    </w:p>
    <w:p>
      <w:pPr>
        <w:spacing w:after="80"/>
        <w:jc w:val="center"/>
      </w:pPr>
      <w:r>
        <w:rPr>
          <w:rFonts w:ascii="Open Sans" w:cs="Open Sans" w:eastAsia="Open Sans" w:hAnsi="Open Sans"/>
          <w:color w:val="006DB6"/>
          <w:sz w:val="28"/>
          <w:szCs w:val="28"/>
        </w:rPr>
        <w:t xml:space="preserve">AI Growth &amp; Integration Blueprint — Leasing Velocity + Portfolio Efficiency</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2026-06-08</w:t>
      </w:r>
    </w:p>
    <w:p>
      <w:pPr>
        <w:spacing w:after="40"/>
        <w:jc w:val="center"/>
      </w:pPr>
      <w:r>
        <w:rPr>
          <w:rFonts w:ascii="Open Sans" w:cs="Open Sans" w:eastAsia="Open Sans" w:hAnsi="Open Sans"/>
          <w:color w:val="59595B"/>
          <w:sz w:val="22"/>
          <w:szCs w:val="22"/>
        </w:rPr>
        <w:t xml:space="preserve">Prepared for Rebecca Reyna, Chief of Staff</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Anderson Real Estate</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6"/>
                <w:szCs w:val="46"/>
              </w:rPr>
              <w:t xml:space="preserve">53</w:t>
            </w:r>
          </w:p>
          <w:p>
            <w:pPr>
              <w:spacing w:after="0"/>
              <w:jc w:val="center"/>
            </w:pPr>
            <w:r>
              <w:rPr>
                <w:rFonts w:ascii="Open Sans" w:cs="Open Sans" w:eastAsia="Open Sans" w:hAnsi="Open Sans"/>
                <w:color w:val="59595B"/>
                <w:sz w:val="17"/>
                <w:szCs w:val="17"/>
              </w:rPr>
              <w:t xml:space="preserve">Properties owned &amp; operated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6"/>
                <w:szCs w:val="46"/>
              </w:rPr>
              <w:t xml:space="preserve">3.1M</w:t>
            </w:r>
          </w:p>
          <w:p>
            <w:pPr>
              <w:spacing w:after="0"/>
              <w:jc w:val="center"/>
            </w:pPr>
            <w:r>
              <w:rPr>
                <w:rFonts w:ascii="Open Sans" w:cs="Open Sans" w:eastAsia="Open Sans" w:hAnsi="Open Sans"/>
                <w:color w:val="59595B"/>
                <w:sz w:val="17"/>
                <w:szCs w:val="17"/>
              </w:rPr>
              <w:t xml:space="preserve">Sq ft across 9 markets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6"/>
                <w:szCs w:val="46"/>
              </w:rPr>
              <w:t xml:space="preserve">250+</w:t>
            </w:r>
          </w:p>
          <w:p>
            <w:pPr>
              <w:spacing w:after="0"/>
              <w:jc w:val="center"/>
            </w:pPr>
            <w:r>
              <w:rPr>
                <w:rFonts w:ascii="Open Sans" w:cs="Open Sans" w:eastAsia="Open Sans" w:hAnsi="Open Sans"/>
                <w:color w:val="59595B"/>
                <w:sz w:val="17"/>
                <w:szCs w:val="17"/>
              </w:rPr>
              <w:t xml:space="preserve">Tenants to serve &amp; retain</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6"/>
                <w:szCs w:val="46"/>
              </w:rPr>
              <w:t xml:space="preserve">$100M</w:t>
            </w:r>
          </w:p>
          <w:p>
            <w:pPr>
              <w:spacing w:after="0"/>
              <w:jc w:val="center"/>
            </w:pPr>
            <w:r>
              <w:rPr>
                <w:rFonts w:ascii="Open Sans" w:cs="Open Sans" w:eastAsia="Open Sans" w:hAnsi="Open Sans"/>
                <w:color w:val="59595B"/>
                <w:sz w:val="17"/>
                <w:szCs w:val="17"/>
              </w:rPr>
              <w:t xml:space="preserve">Century City reposition underway</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Anderson Real Estate is a rarity: a family-owned commercial portfolio, built over five decades from John E. Anderson’s original 1956 venture, that has held to a "people come first" philosophy while most of its Westside competitors became institutional REITs. Today the firm owns and operates 53 properties — 3.1 million square feet of office, retail, mixed-use, and industrial across nine markets — and is mid-way through a $100 million repositioning of its Anderson Towers campus at 1800 and 1900 Avenue of the Stars, with Ares Management already signed as anchor. The portfolio and the timing are excellent. The question this blueprint answers is how AI helps the team capture that moment without losing the personal, relationship-driven service that is the family’s edge.</w:t>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 is that AI helps Anderson on two fronts at once, and they are different in kind. The first is leasing and tenant growth — winning the right tenants for the repositioned space and holding the 250+ tenant base — which is account-based and broker-driven, not a marketing funnel. The second, and the larger near-term return, is portfolio operations and efficiency — abstracting 250+ leases, automating CAM, triaging maintenance, and putting occupancy and rollover in one view — so a lean family-office team operates at an institutional standard. This is where AI has its clearest, highest-ROI win in commercial real estate today.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Century City is the top-performing office submarket on the West Coast, and the $100M Anderson Towers reposition lands in exactly the right place at the right time — premium space wins only if the right tenants and brokers are found, courted, and converted.</w:t>
            </w:r>
          </w:p>
          <w:p>
            <w:pPr>
              <w:keepNext/>
              <w:keepLines/>
              <w:spacing w:after="60" w:before="40" w:line="300"/>
            </w:pPr>
            <w:r>
              <w:rPr>
                <w:rFonts w:ascii="Open Sans" w:cs="Open Sans" w:eastAsia="Open Sans" w:hAnsi="Open Sans"/>
                <w:color w:val="59595B"/>
                <w:sz w:val="20"/>
                <w:szCs w:val="20"/>
              </w:rPr>
              <w:t xml:space="preserve">Lease intelligence is the fastest, surest return: abstracting a complex commercial lease takes a human 2–3 hours; AI does it in minutes — across 250+ leases that is one to two full-time analysts of capacity recovered without adding headcount.</w:t>
            </w:r>
          </w:p>
          <w:p>
            <w:pPr>
              <w:keepNext w:val="false"/>
              <w:keepLines/>
              <w:spacing w:after="60" w:before="40" w:line="300"/>
            </w:pPr>
            <w:r>
              <w:rPr>
                <w:rFonts w:ascii="Open Sans" w:cs="Open Sans" w:eastAsia="Open Sans" w:hAnsi="Open Sans"/>
                <w:color w:val="59595B"/>
                <w:sz w:val="20"/>
                <w:szCs w:val="20"/>
              </w:rPr>
              <w:t xml:space="preserve">Almost no Westside family owner-operator has adopted AI — industry research suggests only a small share of real-estate firms (on the order of ~5%) report achieving their AI goals. Anderson can hold a genuine first-mover position while the institutional REITs move slowly.</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Anderson’s internal metrics (current vacancy and rollover, leasing-team capacity, lease-administration hours, systems in use) were not available for this draft. Every projection below is labeled estimated and conservative, and calibrates to real numbers after a short discovery call — the questions are in Section 14.</w:t>
      </w:r>
    </w:p>
    <w:p>
      <w:pPr>
        <w:pStyle w:val="Heading1"/>
        <w:keepNext/>
        <w:pageBreakBefore/>
        <w:spacing w:after="120" w:before="0" w:line="240"/>
      </w:pPr>
      <w:r>
        <w:rPr>
          <w:rFonts w:ascii="Open Sans" w:cs="Open Sans" w:eastAsia="Open Sans" w:hAnsi="Open Sans"/>
          <w:color w:val="FFFFFF"/>
          <w:sz w:val="2"/>
          <w:szCs w:val="2"/>
        </w:rPr>
        <w:t xml:space="preserve">02  The Two Fronts AI Works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02  The Two Fronts AI Works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Every dollar of value AI creates for a commercial owner-operator comes from one of two fronts, and they could not be more different in how they work. Confusing them — treating leasing like a consumer marketing funnel, or treating operations like a growth campaign — is the most common and most expensive mistake. This blueprint keeps them separate on purpose, because the right tool for one is the wrong tool for the other.</w:t>
      </w:r>
    </w:p>
    <w:p>
      <w:pPr>
        <w:spacing w:after="0" w:before="160"/>
      </w:pPr>
      <w:r>
        <w:t xml:space="preserve"/>
      </w:r>
    </w:p>
    <w:p>
      <w:pPr>
        <w:spacing w:after="80" w:before="120"/>
        <w:jc w:val="center"/>
      </w:pPr>
      <w:r>
        <w:drawing>
          <wp:inline distT="0" distB="0" distL="0" distR="0">
            <wp:extent cx="5715000" cy="3619500"/>
            <wp:effectExtent t="0" r="0" b="0" l="0"/>
            <wp:docPr id="1" name="The AI Operating Layer — Two Fronts" descr="The AI Operating Layer — Two Fronts" title="The AI Operating Layer — Two Fr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2.0 — The AI operating layer: Front 1 wins and holds tenants; Front 2 runs the portfolio.</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Dimension</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Front 1 — Leasing &amp; Tenant Growth</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Front 2 — Portfolio Ops &amp; Efficiency</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Goal</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right tenants; hold the 250+ base</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 3.1M sq ft at an institutional standard</w:t>
            </w:r>
          </w:p>
        </w:tc>
      </w:tr>
      <w:tr>
        <w:trPr>
          <w:cantSplit/>
        </w:trPr>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it touches</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 tenants and the brokers who control deal flow</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 admin, finance, engineering, leadership</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Right motion</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Account-based: target, court, convert, retain</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 the repetitive; surface the buried</w:t>
            </w:r>
          </w:p>
        </w:tc>
      </w:tr>
      <w:tr>
        <w:trPr>
          <w:cantSplit/>
        </w:trPr>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Right tools</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GEO, My AI account intelligence, My Dev</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lease/doc intelligence, Chat.AI, My Dev</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Wrong tool</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Broad "lead generation" — leasing is relationship-driven</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new point tool for every task — 14 disconnected silos</w:t>
            </w:r>
          </w:p>
        </w:tc>
      </w:tr>
      <w:tr>
        <w:trPr>
          <w:cantSplit/>
        </w:trPr>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Payback</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Compounds with each lease and renewal</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Immediate — recovered capacity in the first quarter</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Section 3 sets the market context that makes the timing matter; Sections 9 and 10 detail each front in turn; Section 11 models the return. The throughline is simple: AI is the operating layer under Anderson’s family-owned platform — it amplifies "people come first," it does not replace the relationship.</w:t>
      </w:r>
    </w:p>
    <w:p>
      <w:pPr>
        <w:pStyle w:val="Heading1"/>
        <w:keepNext/>
        <w:pageBreakBefore/>
        <w:spacing w:after="120" w:before="0" w:line="240"/>
      </w:pPr>
      <w:r>
        <w:rPr>
          <w:rFonts w:ascii="Open Sans" w:cs="Open Sans" w:eastAsia="Open Sans" w:hAnsi="Open Sans"/>
          <w:color w:val="FFFFFF"/>
          <w:sz w:val="2"/>
          <w:szCs w:val="2"/>
        </w:rPr>
        <w:t xml:space="preserve">03  The Market Moment — Century City &amp; the Flight to Quality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Market Moment — Century City &amp; the Flight to Quality</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reason to act now is the market Anderson is leasing into. While office struggled almost everywhere after 2020, Century City did the opposite — it became the top-performing office submarket on the West Coast, pulling major occupiers out of Downtown Los Angeles in a clear flight to quality toward premium, amenitized, repositioned space. That is precisely the space the $100M Anderson Towers program is creating.</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99"/>
        <w:gridCol w:w="3599"/>
        <w:gridCol w:w="3062"/>
      </w:tblGrid>
      <w:tr>
        <w:trPr>
          <w:cantSplit/>
          <w:tblHeader/>
        </w:trPr>
        <w:tc>
          <w:tcPr>
            <w:tcW w:type="dxa" w:w="269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Market Signal</w:t>
            </w:r>
          </w:p>
        </w:tc>
        <w:tc>
          <w:tcPr>
            <w:tcW w:type="dxa" w:w="359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the Data Shows</w:t>
            </w:r>
          </w:p>
        </w:tc>
        <w:tc>
          <w:tcPr>
            <w:tcW w:type="dxa" w:w="306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 for Anderson</w:t>
            </w:r>
          </w:p>
        </w:tc>
      </w:tr>
      <w:tr>
        <w:trPr>
          <w:cantSplit/>
        </w:trPr>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Century City rents</w:t>
            </w:r>
          </w:p>
        </w:tc>
        <w:tc>
          <w:tcPr>
            <w:tcW w:type="dxa" w:w="35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base rent near $80/sf — the highest in the metro, up sharply since 2018</w:t>
            </w:r>
          </w:p>
        </w:tc>
        <w:tc>
          <w:tcPr>
            <w:tcW w:type="dxa" w:w="30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single floor of avoided vacancy is worth six figures — leasing speed pays</w:t>
            </w:r>
          </w:p>
        </w:tc>
      </w:tr>
      <w:tr>
        <w:trPr>
          <w:cantSplit/>
        </w:trPr>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Flight to quality</w:t>
            </w:r>
          </w:p>
        </w:tc>
        <w:tc>
          <w:tcPr>
            <w:tcW w:type="dxa" w:w="35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Occupiers leaving older/Downtown stock for premium repositioned campuses</w:t>
            </w:r>
          </w:p>
        </w:tc>
        <w:tc>
          <w:tcPr>
            <w:tcW w:type="dxa" w:w="30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Anderson Towers is built for exactly this demand — if tenants find it</w:t>
            </w:r>
          </w:p>
        </w:tc>
      </w:tr>
      <w:tr>
        <w:trPr>
          <w:cantSplit/>
        </w:trPr>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Leasing recovery</w:t>
            </w:r>
          </w:p>
        </w:tc>
        <w:tc>
          <w:tcPr>
            <w:tcW w:type="dxa" w:w="35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Q1 2026 posted the highest single-quarter LA office leasing since pre-pandemic</w:t>
            </w:r>
          </w:p>
        </w:tc>
        <w:tc>
          <w:tcPr>
            <w:tcW w:type="dxa" w:w="30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window is open now; movement favors the prepared landlord</w:t>
            </w:r>
          </w:p>
        </w:tc>
      </w:tr>
      <w:tr>
        <w:trPr>
          <w:cantSplit/>
        </w:trPr>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Anchor proof</w:t>
            </w:r>
          </w:p>
        </w:tc>
        <w:tc>
          <w:tcPr>
            <w:tcW w:type="dxa" w:w="35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Ares Management signed as Anderson Towers anchor</w:t>
            </w:r>
          </w:p>
        </w:tc>
        <w:tc>
          <w:tcPr>
            <w:tcW w:type="dxa" w:w="30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marquee credibility signal to court the next wave of tenants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Why the Timing Compounds</w:t>
            </w:r>
          </w:p>
          <w:p>
            <w:pPr>
              <w:keepNext/>
              <w:keepLines/>
              <w:spacing w:after="60" w:before="40" w:line="300"/>
            </w:pPr>
            <w:r>
              <w:rPr>
                <w:rFonts w:ascii="Open Sans" w:cs="Open Sans" w:eastAsia="Open Sans" w:hAnsi="Open Sans"/>
                <w:color w:val="59595B"/>
                <w:sz w:val="20"/>
                <w:szCs w:val="20"/>
              </w:rPr>
              <w:t xml:space="preserve">Premium space and a strong submarket are necessary but not sufficient — the building still has to reach the right tenant, through the right broker, before a competitor’s space does. That reach is what Front 1 builds.</w:t>
            </w:r>
          </w:p>
          <w:p>
            <w:pPr>
              <w:keepNext/>
              <w:keepLines/>
              <w:spacing w:after="60" w:before="40" w:line="300"/>
            </w:pPr>
            <w:r>
              <w:rPr>
                <w:rFonts w:ascii="Open Sans" w:cs="Open Sans" w:eastAsia="Open Sans" w:hAnsi="Open Sans"/>
                <w:color w:val="59595B"/>
                <w:sz w:val="20"/>
                <w:szCs w:val="20"/>
              </w:rPr>
              <w:t xml:space="preserve">Every month a repositioned floor sits empty is rent foregone at the metro’s highest rate. Faster, better-targeted leasing is not a marketing nicety here — it is the single largest number in the model.</w:t>
            </w:r>
          </w:p>
          <w:p>
            <w:pPr>
              <w:keepNext w:val="false"/>
              <w:keepLines/>
              <w:spacing w:after="60" w:before="40" w:line="300"/>
            </w:pPr>
            <w:r>
              <w:rPr>
                <w:rFonts w:ascii="Open Sans" w:cs="Open Sans" w:eastAsia="Open Sans" w:hAnsi="Open Sans"/>
                <w:color w:val="59595B"/>
                <w:sz w:val="20"/>
                <w:szCs w:val="20"/>
              </w:rPr>
              <w:t xml:space="preserve">The Ares anchor is a story worth telling. AI-assisted content and outreach turn one marquee lease into authority that courts the next ten.</w:t>
            </w:r>
          </w:p>
        </w:tc>
      </w:tr>
    </w:tbl>
    <w:p>
      <w:pPr>
        <w:pStyle w:val="Heading1"/>
        <w:keepNext/>
        <w:pageBreakBefore/>
        <w:spacing w:after="120" w:before="0" w:line="240"/>
      </w:pPr>
      <w:r>
        <w:rPr>
          <w:rFonts w:ascii="Open Sans" w:cs="Open Sans" w:eastAsia="Open Sans" w:hAnsi="Open Sans"/>
          <w:color w:val="FFFFFF"/>
          <w:sz w:val="2"/>
          <w:szCs w:val="2"/>
        </w:rPr>
        <w:t xml:space="preserve">04  Where Anderson Competes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04  Where Anderson Competes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Anderson competes for tenants against the largest names on the Westside — and that is exactly where its difference becomes an advantage. The competition is almost entirely institutional and publicly traded: large, capable, and standardized, but impersonal and bound to short-horizon, quarter-to-quarter pressures. Anderson is the opposite: family-owned, patient, and built on relationships measured in decades.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369"/>
        <w:gridCol w:w="3558"/>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33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Profile</w:t>
            </w:r>
          </w:p>
        </w:tc>
        <w:tc>
          <w:tcPr>
            <w:tcW w:type="dxa" w:w="355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Posture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Douglas Emmett (DEI)</w:t>
            </w:r>
          </w:p>
        </w:tc>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Dominant Westside / Century City office + multifamily REIT</w:t>
            </w:r>
          </w:p>
        </w:tc>
        <w:tc>
          <w:tcPr>
            <w:tcW w:type="dxa" w:w="35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Largest Westside owner; institutional scale; public-market pressure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Hudson Pacific Properties</w:t>
            </w:r>
          </w:p>
        </w:tc>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Westside creative / media office REIT</w:t>
            </w:r>
          </w:p>
        </w:tc>
        <w:tc>
          <w:tcPr>
            <w:tcW w:type="dxa" w:w="35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 &amp; media tenant focus; institutional, standardized</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Boston Properties (BXP)</w:t>
            </w:r>
          </w:p>
        </w:tc>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trophy-office REIT</w:t>
            </w:r>
          </w:p>
        </w:tc>
        <w:tc>
          <w:tcPr>
            <w:tcW w:type="dxa" w:w="35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Premium product, but corporate — not local or family-run</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JMB / Century City owners</w:t>
            </w:r>
          </w:p>
        </w:tc>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Large institutional Century City office towers</w:t>
            </w:r>
          </w:p>
        </w:tc>
        <w:tc>
          <w:tcPr>
            <w:tcW w:type="dxa" w:w="35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Scale and capital; impersonal tenant experience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Watt / Worthe Real Estate</w:t>
            </w:r>
          </w:p>
        </w:tc>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Regional SoCal owner-operators</w:t>
            </w:r>
          </w:p>
        </w:tc>
        <w:tc>
          <w:tcPr>
            <w:tcW w:type="dxa" w:w="35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Closer peers in style; smaller AI footprint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Where Anderson Wins — The White Space</w:t>
            </w:r>
          </w:p>
          <w:p>
            <w:pPr>
              <w:keepNext/>
              <w:keepLines/>
              <w:spacing w:after="60" w:before="40" w:line="300"/>
            </w:pPr>
            <w:r>
              <w:rPr>
                <w:rFonts w:ascii="Open Sans" w:cs="Open Sans" w:eastAsia="Open Sans" w:hAnsi="Open Sans"/>
                <w:color w:val="59595B"/>
                <w:sz w:val="20"/>
                <w:szCs w:val="20"/>
              </w:rPr>
              <w:t xml:space="preserve">Family stewardship vs. quarterly pressure: Anderson can make decisions — on a tenant, a renewal, a repositioning — that a REIT answerable to public shareholders cannot. "People come first" is a real differentiator, not a slogan.</w:t>
            </w:r>
          </w:p>
          <w:p>
            <w:pPr>
              <w:keepNext/>
              <w:keepLines/>
              <w:spacing w:after="60" w:before="40" w:line="300"/>
            </w:pPr>
            <w:r>
              <w:rPr>
                <w:rFonts w:ascii="Open Sans" w:cs="Open Sans" w:eastAsia="Open Sans" w:hAnsi="Open Sans"/>
                <w:color w:val="59595B"/>
                <w:sz w:val="20"/>
                <w:szCs w:val="20"/>
              </w:rPr>
              <w:t xml:space="preserve">Boutique service at institutional quality: AI lets a lean family-office team deliver the data, responsiveness, and polish tenants expect from a DEI or BXP — without becoming impersonal.</w:t>
            </w:r>
          </w:p>
          <w:p>
            <w:pPr>
              <w:keepNext/>
              <w:keepLines/>
              <w:spacing w:after="60" w:before="40" w:line="300"/>
            </w:pPr>
            <w:r>
              <w:rPr>
                <w:rFonts w:ascii="Open Sans" w:cs="Open Sans" w:eastAsia="Open Sans" w:hAnsi="Open Sans"/>
                <w:color w:val="59595B"/>
                <w:sz w:val="20"/>
                <w:szCs w:val="20"/>
              </w:rPr>
              <w:t xml:space="preserve">AI first-mover: industry research suggests only a small share of real-estate firms (on the order of ~5%) report achieving their AI goals, and a majority say they are unprepared. No Westside family owner-operator is known to have built this layer. Anderson can.</w:t>
            </w:r>
          </w:p>
          <w:p>
            <w:pPr>
              <w:keepNext w:val="false"/>
              <w:keepLines/>
              <w:spacing w:after="60" w:before="40" w:line="300"/>
            </w:pPr>
            <w:r>
              <w:rPr>
                <w:rFonts w:ascii="Open Sans" w:cs="Open Sans" w:eastAsia="Open Sans" w:hAnsi="Open Sans"/>
                <w:color w:val="59595B"/>
                <w:sz w:val="20"/>
                <w:szCs w:val="20"/>
              </w:rPr>
              <w:t xml:space="preserve">The relationship moat: brokers and tenants stay where they are known and well-served. AI sharpens the targeting and the follow-through; the Anderson team keeps the trust.</w:t>
            </w:r>
          </w:p>
        </w:tc>
      </w:tr>
    </w:tbl>
    <w:p>
      <w:pPr>
        <w:pStyle w:val="Heading1"/>
        <w:keepNext/>
        <w:pageBreakBefore/>
        <w:spacing w:after="120" w:before="0" w:line="240"/>
      </w:pPr>
      <w:r>
        <w:rPr>
          <w:rFonts w:ascii="Open Sans" w:cs="Open Sans" w:eastAsia="Open Sans" w:hAnsi="Open Sans"/>
          <w:color w:val="FFFFFF"/>
          <w:sz w:val="2"/>
          <w:szCs w:val="2"/>
        </w:rPr>
        <w:t xml:space="preserve">05  Who Anderson Serves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Who Anderson Serves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Anderson’s growth depends on a small set of distinct relationships, and each is reached differently — which is the whole point of an account-based approach. The tenant-rep broker sits at the center: for most commercial deals, the broker controls which buildings a tenant ever tours. The plan treats the broker as a channel to be cultivated, and each tenant type as a named target rather than an anonymous lead.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Trophy Office Tenant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finance, PE, law, or entertainment firm seeking landmark, amenitized Century City space — Ares is the proof case.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Buys quality, image, and certainty; expects an institutional-grade experience and a responsive landlord.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Building quality + the broker’s recommendation + how well-run and credible the ownership feels.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Account intelligence finds in-market firms and their brokers; AI-drafted proposals and the Ares-anchored story court them faster.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account intelligence + My SEO/GEO authority + My Dev proposal automation.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Tenant-Rep Broker (the gatekeeper)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CBRE / JLL / Cushman / Savills broker who controls which buildings a tenant tours. The single most important relationship.</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Sends clients to landlords who are responsive, easy to transact with, and make the broker look good.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Speed of response, quality of materials, and trust built over repeated deals.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Tracks broker activity and requirements; delivers fast, polished proposals and availability — so Anderson is the easy "yes" to tour.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broker intelligence + My Dev proposal/availability automation.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Renewing Anchor / Long-Term Tenant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member of the existing 250+ tenant base approaching renewal. Retention is far cheaper than new leasing.</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Wants to be valued, heard, and well-served; will stay if the experience is good and the relationship is real.</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Service quality, responsiveness, and feeling like a partner rather than a line item.</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 24/7 tenant assistant and faster maintenance response raise satisfaction; rollover analytics flag renewals early so the team can act.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Chat.AI tenant assistant + My Dev portfolio/rollover dashboard.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Lifestyle / Retail Tenant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boutique retailer or restaurateur on Montana Avenue, in Westwood Village, or in Brentwood. Brand-fit and foot traffic matter.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Cares about co-tenancy, neighborhood identity, and a landlord who curates the right mix.</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Location quality, the tenant mix around them, and lease terms.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Local SEO/GEO surfaces available retail to the right operators; AI drafts curation-minded outreach to brands that fit the corridor.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(local) + My AI targeted outreach.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Industrial / Flex Tenant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light-industrial or creative user in Oxnard, Ventura County, or Thousand Oaks. Practical and space-driven.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Focused on functionality, price-per-foot, and a smooth, low-friction transaction.</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Right space, right price, fast and easy to lease.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Listing visibility plus automated qualification and follow-up keep these higher-volume deals moving without tying up the team.</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My Dev intake/qualification automation.</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5.0 maps each relationship by lease value and volume — office is high-value and rare, retail and flex are the volume base, and the broker is the channel that multiplies them all.</w:t>
      </w:r>
    </w:p>
    <w:p>
      <w:pPr>
        <w:spacing w:after="0" w:before="60"/>
      </w:pPr>
      <w:r>
        <w:t xml:space="preserve"/>
      </w:r>
    </w:p>
    <w:p>
      <w:pPr>
        <w:spacing w:after="80" w:before="120"/>
        <w:jc w:val="center"/>
      </w:pPr>
      <w:r>
        <w:drawing>
          <wp:inline distT="0" distB="0" distL="0" distR="0">
            <wp:extent cx="5334000" cy="3552825"/>
            <wp:effectExtent t="0" r="0" b="0" l="0"/>
            <wp:docPr id="1" name="Who Anderson Serves — Lease Value x Volume" descr="Who Anderson Serves — Lease Value x Volume" title="Who Anderson Serves — Lease Value x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5.0 — Who Anderson serves: Lease Value × Volume</w:t>
      </w:r>
    </w:p>
    <w:p>
      <w:pPr>
        <w:pStyle w:val="Heading1"/>
        <w:keepNext/>
        <w:pageBreakBefore/>
        <w:spacing w:after="120" w:before="0" w:line="240"/>
      </w:pPr>
      <w:r>
        <w:rPr>
          <w:rFonts w:ascii="Open Sans" w:cs="Open Sans" w:eastAsia="Open Sans" w:hAnsi="Open Sans"/>
          <w:color w:val="FFFFFF"/>
          <w:sz w:val="2"/>
          <w:szCs w:val="2"/>
        </w:rPr>
        <w:t xml:space="preserve">06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06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There is a gap between the quality of Anderson’s real estate and the visibility of Anderson online — and for an account-based leasing motion, that gap quietly costs deals. When a tenant or a broker searches for Westside or Century City space, the answers are dominated by the big REITs and the brokerage portals; the owner of the space is hard to find. The portfolio is institutional-grade; the digital footprint is understated. Closing that gap is the foundation of Front 1.</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744"/>
        <w:gridCol w:w="3183"/>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Dimension</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 (observed)</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Search visibility</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Does not surface for "Century City office space" or Westside retail searches</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AEO/GEO so Anderson — the owner — is the cited answer, not just the brokers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answer engines</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Effectively invisible to ChatGPT, Perplexity, and Google AI Overviews</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 the source these assistants cite for Westside space and the Towers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Anderson Towers story</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$100M reposition and an Ares anchor — under-told publicly</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marquee narrative that courts the next wave of trophy tenants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Family-brand authority</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50-year "people-first" story is a moat that is barely voiced online</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that distinguishes a relationship-driven owner from impersonal REITs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Leasing materials</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Proposals and availability assembled by hand, ad hoc</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On-brand, AI-drafted proposals and OMs that make the broker’s job easy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Gap Is the Opportunity</w:t>
            </w:r>
          </w:p>
          <w:p>
            <w:pPr>
              <w:keepNext/>
              <w:keepLines/>
              <w:spacing w:after="60" w:before="40" w:line="300"/>
            </w:pPr>
            <w:r>
              <w:rPr>
                <w:rFonts w:ascii="Open Sans" w:cs="Open Sans" w:eastAsia="Open Sans" w:hAnsi="Open Sans"/>
                <w:color w:val="59595B"/>
                <w:sz w:val="20"/>
                <w:szCs w:val="20"/>
              </w:rPr>
              <w:t xml:space="preserve">This is not a vanity problem. For an account-based landlord, being the cited, credible answer at the moment a broker or tenant is searching is how the right deal starts — and today that answer is someone else.</w:t>
            </w:r>
          </w:p>
          <w:p>
            <w:pPr>
              <w:keepNext/>
              <w:keepLines/>
              <w:spacing w:after="60" w:before="40" w:line="300"/>
            </w:pPr>
            <w:r>
              <w:rPr>
                <w:rFonts w:ascii="Open Sans" w:cs="Open Sans" w:eastAsia="Open Sans" w:hAnsi="Open Sans"/>
                <w:color w:val="59595B"/>
                <w:sz w:val="20"/>
                <w:szCs w:val="20"/>
              </w:rPr>
              <w:t xml:space="preserve">The fix is not "more marketing." It is authority and findability for a finite, high-value audience — and turning the Ares-anchored repositioning into a story that earns the next lease.</w:t>
            </w:r>
          </w:p>
          <w:p>
            <w:pPr>
              <w:keepNext w:val="false"/>
              <w:keepLines/>
              <w:spacing w:after="60" w:before="40" w:line="300"/>
            </w:pPr>
            <w:r>
              <w:rPr>
                <w:rFonts w:ascii="Open Sans" w:cs="Open Sans" w:eastAsia="Open Sans" w:hAnsi="Open Sans"/>
                <w:color w:val="59595B"/>
                <w:sz w:val="20"/>
                <w:szCs w:val="20"/>
              </w:rPr>
              <w:t xml:space="preserve">Every other element of Front 1 (Section 09) builds on this foundation: you cannot run account-based outreach from a presence that the market cannot find.</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AI Search Reality Check</w:t>
      </w:r>
    </w:p>
    <w:p>
      <w:pPr>
        <w:spacing w:after="140" w:before="0" w:line="320"/>
        <w:jc w:val="both"/>
      </w:pPr>
      <w:r>
        <w:rPr>
          <w:rFonts w:ascii="Open Sans" w:cs="Open Sans" w:eastAsia="Open Sans" w:hAnsi="Open Sans"/>
          <w:b w:val="false"/>
          <w:bCs w:val="false"/>
          <w:i w:val="false"/>
          <w:iCs w:val="false"/>
          <w:color w:val="59595B"/>
          <w:sz w:val="22"/>
          <w:szCs w:val="22"/>
        </w:rPr>
        <w:t xml:space="preserve">Here is the gap made concrete. When a tenant-rep broker or a relocating firm asks an AI assistant the question below today, this is the shape of the answer they get — illustrative of how AI search resolves this query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Prompt: "Who owns premium repositioned office space in Century City I can lease right now?"</w:t>
            </w:r>
          </w:p>
          <w:p>
            <w:pPr>
              <w:keepNext/>
              <w:keepLines/>
              <w:spacing w:after="60" w:before="40" w:line="300"/>
            </w:pPr>
            <w:r>
              <w:rPr>
                <w:rFonts w:ascii="Open Sans" w:cs="Open Sans" w:eastAsia="Open Sans" w:hAnsi="Open Sans"/>
                <w:color w:val="59595B"/>
                <w:sz w:val="20"/>
                <w:szCs w:val="20"/>
              </w:rPr>
              <w:t xml:space="preserve">TODAY — the AI assistant answers with whichever names have the strongest public content and third-party signals it can read: it names the large Westside REITs and the brokerage portals, and does NOT mention Anderson Real Estate or the Anderson Towers reposition — even though Anderson owns the very space, in the right submarket, with an Ares anchor. Anderson is invisible at the exact moment the broker is building a tour shortlist.</w:t>
            </w:r>
          </w:p>
          <w:p>
            <w:pPr>
              <w:keepNext w:val="false"/>
              <w:keepLines/>
              <w:spacing w:after="60" w:before="40" w:line="300"/>
            </w:pPr>
            <w:r>
              <w:rPr>
                <w:rFonts w:ascii="Open Sans" w:cs="Open Sans" w:eastAsia="Open Sans" w:hAnsi="Open Sans"/>
                <w:color w:val="59595B"/>
                <w:sz w:val="20"/>
                <w:szCs w:val="20"/>
              </w:rPr>
              <w:t xml:space="preserve">AFTER GEO/AEO — the same query returns Anderson as a cited option ("Anderson Real Estate, a family-owned owner-operator, is repositioning Anderson Towers at 1800 &amp; 1900 Avenue of the Stars in Century City, anchored by Ares Management…"), with the Towers narrative and availability as the supporting evidence the assistant points to.</w:t>
            </w:r>
          </w:p>
        </w:tc>
      </w:tr>
    </w:tbl>
    <w:p>
      <w:pPr>
        <w:spacing w:after="140" w:before="0" w:line="320"/>
        <w:jc w:val="both"/>
      </w:pPr>
      <w:r>
        <w:rPr>
          <w:rFonts w:ascii="Open Sans" w:cs="Open Sans" w:eastAsia="Open Sans" w:hAnsi="Open Sans"/>
          <w:b w:val="false"/>
          <w:bCs w:val="false"/>
          <w:i/>
          <w:iCs/>
          <w:color w:val="59595B"/>
          <w:sz w:val="18"/>
          <w:szCs w:val="18"/>
        </w:rPr>
        <w:t xml:space="preserve">(Illustrative of current AI-search behavior for this query class; the live result is captured in the free Nexus Assess baseline.)</w:t>
      </w:r>
    </w:p>
    <w:p>
      <w:pPr>
        <w:spacing w:after="0" w:before="160"/>
      </w:pPr>
      <w:r>
        <w:t xml:space="preserve"/>
      </w:r>
    </w:p>
    <w:p>
      <w:pPr>
        <w:pStyle w:val="Heading2"/>
        <w:keepNext/>
        <w:keepLines/>
        <w:spacing w:after="120" w:before="280"/>
      </w:pPr>
      <w:r>
        <w:rPr>
          <w:rFonts w:ascii="Open Sans" w:cs="Open Sans" w:eastAsia="Open Sans" w:hAnsi="Open Sans"/>
          <w:b/>
          <w:bCs/>
          <w:color w:val="CC0000"/>
          <w:sz w:val="26"/>
          <w:szCs w:val="26"/>
        </w:rPr>
        <w:t xml:space="preserve">The Cost of Waiting</w:t>
      </w:r>
    </w:p>
    <w:p>
      <w:pPr>
        <w:spacing w:after="140" w:before="0" w:line="320"/>
        <w:jc w:val="both"/>
      </w:pPr>
      <w:r>
        <w:rPr>
          <w:rFonts w:ascii="Open Sans" w:cs="Open Sans" w:eastAsia="Open Sans" w:hAnsi="Open Sans"/>
          <w:b w:val="false"/>
          <w:bCs w:val="false"/>
          <w:i w:val="false"/>
          <w:iCs w:val="false"/>
          <w:color w:val="59595B"/>
          <w:sz w:val="22"/>
          <w:szCs w:val="22"/>
        </w:rPr>
        <w:t xml:space="preserve">AI-search visibility compounds, and it rewards whoever optimizes first. Every month Anderson is not the cited answer, brokers and tenants learn to answer "Century City office space" with someone else — and that default, once set in the assistants’ retrieval data, is harder and more expensive to dislodge than to claim now. There is a second, larger clock: every month a repositioned Anderson Towers floor sits empty is rent foregone at the metro’s highest base rate, near $80/sf. The Ares anchor gives Anderson a genuine, marquee story to own the narrative — and that window is widest before a competing landlord tells it first. The cost of waiting is not zero; it is a REIT becoming the default answer while a premium floor stays dark.</w:t>
      </w:r>
    </w:p>
    <w:p>
      <w:pPr>
        <w:pStyle w:val="Heading1"/>
        <w:keepNext/>
        <w:pageBreakBefore/>
        <w:spacing w:after="120" w:before="0" w:line="240"/>
      </w:pPr>
      <w:r>
        <w:rPr>
          <w:rFonts w:ascii="Open Sans" w:cs="Open Sans" w:eastAsia="Open Sans" w:hAnsi="Open Sans"/>
          <w:color w:val="FFFFFF"/>
          <w:sz w:val="2"/>
          <w:szCs w:val="2"/>
        </w:rPr>
        <w:t xml:space="preserve">07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any recommendation, the relevant question is whether Technijian has actually built what Anderson needs. It has. Each platform below is delivered and operating for real clients, and each maps directly to a front in this plan — evidence first, pitch second.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1 — AI Document Intelligence (the lease-intelligence engine)</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for a FINRA-registered broker-dealer that auto-populates complex vendor questionnaires — cutting response time from days to minutes against documents that demand exactness.</w:t>
            </w:r>
          </w:p>
          <w:p>
            <w:pPr>
              <w:spacing w:after="60"/>
            </w:pPr>
            <w:r>
              <w:rPr>
                <w:rFonts w:ascii="Open Sans" w:cs="Open Sans" w:eastAsia="Open Sans" w:hAnsi="Open Sans"/>
                <w:b/>
                <w:bCs/>
                <w:color w:val="F67D4B"/>
                <w:sz w:val="20"/>
                <w:szCs w:val="20"/>
              </w:rPr>
              <w:t xml:space="preserve">How This Applies to Anderson: </w:t>
            </w:r>
            <w:r>
              <w:rPr>
                <w:rFonts w:ascii="Open Sans" w:cs="Open Sans" w:eastAsia="Open Sans" w:hAnsi="Open Sans"/>
                <w:color w:val="59595B"/>
                <w:sz w:val="20"/>
                <w:szCs w:val="20"/>
              </w:rPr>
              <w:t xml:space="preserve">The same engine abstracts Anderson’s 250+ leases — surfacing dates, options, escalations, and CAM terms, each linked back to the source document — plus estoppels, SNDAs, and vendor contracts. This is the highest-ROI move available.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2 — Weaviate + Obsidian Knowledge System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builds hybrid memory systems (Weaviate vector search + Obsidian) that let AI retrieve an organization’s institutional knowledge across sessions instead of losing it.</w:t>
            </w:r>
          </w:p>
          <w:p>
            <w:pPr>
              <w:spacing w:after="60"/>
            </w:pPr>
            <w:r>
              <w:rPr>
                <w:rFonts w:ascii="Open Sans" w:cs="Open Sans" w:eastAsia="Open Sans" w:hAnsi="Open Sans"/>
                <w:b/>
                <w:bCs/>
                <w:color w:val="F67D4B"/>
                <w:sz w:val="20"/>
                <w:szCs w:val="20"/>
              </w:rPr>
              <w:t xml:space="preserve">How This Applies to Anderson: </w:t>
            </w:r>
            <w:r>
              <w:rPr>
                <w:rFonts w:ascii="Open Sans" w:cs="Open Sans" w:eastAsia="Open Sans" w:hAnsi="Open Sans"/>
                <w:color w:val="59595B"/>
                <w:sz w:val="20"/>
                <w:szCs w:val="20"/>
              </w:rPr>
              <w:t xml:space="preserve">It captures fifty years of family-firm decisions, tenant histories, and broker relationships before they walk out the door with a retiring employee — turning tribal knowledge into a durable, searchable asset.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3 — Multi-Agent SEO + AEO/GEO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operates a multi-agent platform (Claude, GPT-4o, and Gemini with MCP, plus SEMrush, GA4, and Perplexity) that ranks content in Google and positions clients as the source the AI assistants cite.</w:t>
            </w:r>
          </w:p>
          <w:p>
            <w:pPr>
              <w:spacing w:after="60"/>
            </w:pPr>
            <w:r>
              <w:rPr>
                <w:rFonts w:ascii="Open Sans" w:cs="Open Sans" w:eastAsia="Open Sans" w:hAnsi="Open Sans"/>
                <w:b/>
                <w:bCs/>
                <w:color w:val="F67D4B"/>
                <w:sz w:val="20"/>
                <w:szCs w:val="20"/>
              </w:rPr>
              <w:t xml:space="preserve">How This Applies to Anderson: </w:t>
            </w:r>
            <w:r>
              <w:rPr>
                <w:rFonts w:ascii="Open Sans" w:cs="Open Sans" w:eastAsia="Open Sans" w:hAnsi="Open Sans"/>
                <w:color w:val="59595B"/>
                <w:sz w:val="20"/>
                <w:szCs w:val="20"/>
              </w:rPr>
              <w:t xml:space="preserve">It makes Anderson the cited answer for "Century City office space" and Westside retail searches, and builds family-brand authority that distinguishes a relationship-driven owner from the impersonal REITs.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4 — AI-Native Custom App Delivery (My Dev)</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Technijian’s AI-native SDLC delivers custom web apps 3–5× faster than traditional development — dashboards, portals, and automations built around a real workflow.</w:t>
            </w:r>
          </w:p>
          <w:p>
            <w:pPr>
              <w:spacing w:after="60"/>
            </w:pPr>
            <w:r>
              <w:rPr>
                <w:rFonts w:ascii="Open Sans" w:cs="Open Sans" w:eastAsia="Open Sans" w:hAnsi="Open Sans"/>
                <w:b/>
                <w:bCs/>
                <w:color w:val="F67D4B"/>
                <w:sz w:val="20"/>
                <w:szCs w:val="20"/>
              </w:rPr>
              <w:t xml:space="preserve">How This Applies to Anderson: </w:t>
            </w:r>
            <w:r>
              <w:rPr>
                <w:rFonts w:ascii="Open Sans" w:cs="Open Sans" w:eastAsia="Open Sans" w:hAnsi="Open Sans"/>
                <w:color w:val="59595B"/>
                <w:sz w:val="20"/>
                <w:szCs w:val="20"/>
              </w:rPr>
              <w:t xml:space="preserve">It builds the portfolio-intelligence dashboard (occupancy, rollover, revenue in one view), the leasing/broker CRM, the tenant-experience portal, and CAM automation — an integrated layer, not 14 disconnected tools.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5 — Chat.AI Conversational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Chat.AI is Technijian’s enterprise AI platform; as an assistant it answers questions in natural language around the clock and routes what needs a human to the right person.</w:t>
            </w:r>
          </w:p>
          <w:p>
            <w:pPr>
              <w:spacing w:after="60"/>
            </w:pPr>
            <w:r>
              <w:rPr>
                <w:rFonts w:ascii="Open Sans" w:cs="Open Sans" w:eastAsia="Open Sans" w:hAnsi="Open Sans"/>
                <w:b/>
                <w:bCs/>
                <w:color w:val="F67D4B"/>
                <w:sz w:val="20"/>
                <w:szCs w:val="20"/>
              </w:rPr>
              <w:t xml:space="preserve">How This Applies to Anderson: </w:t>
            </w:r>
            <w:r>
              <w:rPr>
                <w:rFonts w:ascii="Open Sans" w:cs="Open Sans" w:eastAsia="Open Sans" w:hAnsi="Open Sans"/>
                <w:color w:val="59595B"/>
                <w:sz w:val="20"/>
                <w:szCs w:val="20"/>
              </w:rPr>
              <w:t xml:space="preserve">For Anderson it becomes a 24/7 tenant assistant — fielding maintenance requests, building information, and after-hours questions across the portfolio — raising tenant satisfaction and freeing the property team.</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 Keep AI Affordable — Seven Models, Routed by Task</w:t>
      </w:r>
    </w:p>
    <w:p>
      <w:pPr>
        <w:spacing w:after="140" w:before="0" w:line="320"/>
        <w:jc w:val="both"/>
      </w:pPr>
      <w:r>
        <w:rPr>
          <w:rFonts w:ascii="Open Sans" w:cs="Open Sans" w:eastAsia="Open Sans" w:hAnsi="Open Sans"/>
          <w:b w:val="false"/>
          <w:bCs w:val="false"/>
          <w:i w:val="false"/>
          <w:iCs w:val="false"/>
          <w:color w:val="59595B"/>
          <w:sz w:val="22"/>
          <w:szCs w:val="22"/>
        </w:rPr>
        <w:t xml:space="preserve">A fair question about running AI across leasing content, account intelligence, and lease abstraction: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4752"/>
        <w:gridCol w:w="2160"/>
      </w:tblGrid>
      <w:tr>
        <w:trPr>
          <w:cantSplit/>
          <w:tblHeader/>
        </w:trPr>
        <w:tc>
          <w:tcPr>
            <w:tcW w:type="dxa" w:w="2448"/>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w:t>
            </w:r>
          </w:p>
        </w:tc>
        <w:tc>
          <w:tcPr>
            <w:tcW w:type="dxa" w:w="475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1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Share of Work</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Frontier (premium)</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hardest judgment only — final brand-voice pass on a leasing proposal, the nuanced read of a complex lease clause, deepest reasoning</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~5–10%</w:t>
            </w:r>
          </w:p>
        </w:tc>
      </w:tr>
      <w:tr>
        <w:trPr>
          <w:cantSplit/>
        </w:trPr>
        <w:tc>
          <w:tcPr>
            <w:tcW w:type="dxa" w:w="24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Workhorse (balanced)</w:t>
            </w:r>
          </w:p>
        </w:tc>
        <w:tc>
          <w:tcPr>
            <w:tcW w:type="dxa" w:w="4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bulk of drafting and reasoning — proposal and outreach personalization, lease-abstract summarization, broker-signal scoring</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1EAAC8"/>
                <w:sz w:val="20"/>
                <w:szCs w:val="20"/>
              </w:rPr>
              <w:t xml:space="preserve">~30–40%</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Lightweight (low-cost)</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High-volume mechanical work — extracting dates and CAM terms, classifying documents, enriching and tagging hundreds of lease and tenant records</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~50–60%</w:t>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result: Anderson pays premium-model prices only for the small slice of work that warrants them — typically a 60–80% lower run cost than routing everything to one top-tier model, with no quality loss where it counts. For example, a single lease is parsed by a low-cost model, its key terms verified by a mid model, and any ambiguous clause given a final review by a frontier model — instead of one premium model doing all three at roughly triple the cost. This is the kind of AI engineering depth a partner brings that wiring everything to one chatbot does not.</w:t>
      </w:r>
    </w:p>
    <w:p>
      <w:pPr>
        <w:pStyle w:val="Heading1"/>
        <w:keepNext/>
        <w:pageBreakBefore/>
        <w:spacing w:after="120" w:before="0" w:line="240"/>
      </w:pPr>
      <w:r>
        <w:rPr>
          <w:rFonts w:ascii="Open Sans" w:cs="Open Sans" w:eastAsia="Open Sans" w:hAnsi="Open Sans"/>
          <w:color w:val="FFFFFF"/>
          <w:sz w:val="2"/>
          <w:szCs w:val="2"/>
        </w:rPr>
        <w:t xml:space="preserve">08  Understanding AI — A Field Guide for Anderson Real Estate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Understanding AI — A Field Guide for Anderson Real Estate Leadership</w:t>
            </w:r>
          </w:p>
        </w:tc>
      </w:tr>
    </w:tbl>
    <w:p>
      <w:pPr>
        <w:spacing w:after="0" w:before="14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exists to make the rest of this report easy to evaluate. No jargon, no hype — just what AI is, where Anderson sits today, how to adopt it without risk, and what comparable organizations are already doing. The goal is that Rebecca, Jeffrey, and the Anderson team can judge every recommendation that follows on its merits.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AI Actually Is — and Isn’t</w:t>
      </w:r>
    </w:p>
    <w:p>
      <w:pPr>
        <w:spacing w:after="140" w:before="0" w:line="320"/>
        <w:jc w:val="both"/>
      </w:pPr>
      <w:r>
        <w:rPr>
          <w:rFonts w:ascii="Open Sans" w:cs="Open Sans" w:eastAsia="Open Sans" w:hAnsi="Open Sans"/>
          <w:b w:val="false"/>
          <w:bCs w:val="false"/>
          <w:i w:val="false"/>
          <w:iCs w:val="false"/>
          <w:color w:val="59595B"/>
          <w:sz w:val="22"/>
          <w:szCs w:val="22"/>
        </w:rPr>
        <w:t xml:space="preserve">As MIT Sloan puts it, a leader needs to know what AI can and cannot do — not how to build it. In practice, the only distinction that matters for planning is this:</w:t>
      </w:r>
    </w:p>
    <w:p>
      <w:pPr>
        <w:pStyle w:val="ListParagraph"/>
        <w:numPr>
          <w:ilvl w:val="0"/>
          <w:numId w:val="2"/>
        </w:numPr>
        <w:spacing w:after="80" w:before="40" w:line="300"/>
      </w:pPr>
      <w:r>
        <w:rPr>
          <w:rFonts w:ascii="Open Sans" w:cs="Open Sans" w:eastAsia="Open Sans" w:hAnsi="Open Sans"/>
          <w:color w:val="59595B"/>
          <w:sz w:val="22"/>
          <w:szCs w:val="22"/>
        </w:rPr>
        <w:t xml:space="preserve">Automation (workflows): the AI follows a path you define — predictable and low-risk. For example, "abstract this lease and pull the dates, options, and CAM terms." This is where almost all near-term value lives.</w:t>
      </w:r>
    </w:p>
    <w:p>
      <w:pPr>
        <w:pStyle w:val="ListParagraph"/>
        <w:numPr>
          <w:ilvl w:val="0"/>
          <w:numId w:val="2"/>
        </w:numPr>
        <w:spacing w:after="80" w:before="40" w:line="300"/>
      </w:pPr>
      <w:r>
        <w:rPr>
          <w:rFonts w:ascii="Open Sans" w:cs="Open Sans" w:eastAsia="Open Sans" w:hAnsi="Open Sans"/>
          <w:color w:val="59595B"/>
          <w:sz w:val="22"/>
          <w:szCs w:val="22"/>
        </w:rPr>
        <w:t xml:space="preserve">Agents: the AI decides the steps itself — more flexible, and it needs human oversight. For example, "watch the broker and tenant market and flag which named accounts are going in-market." This comes later, where it earns its place.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operating principle (Anthropic’s guidance on building AI systems) is to use the simplest thing that works. Anderson starts with simple automations that pay off in the first 90 days — lease abstraction first — and adds autonomous agents only where the value is proven, which is exactly how the roadmap in this report is sequenced.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Anderson Sits Today — The AI Maturity Ladder</w:t>
      </w:r>
    </w:p>
    <w:p>
      <w:pPr>
        <w:spacing w:after="140" w:before="0" w:line="320"/>
        <w:jc w:val="both"/>
      </w:pPr>
      <w:r>
        <w:rPr>
          <w:rFonts w:ascii="Open Sans" w:cs="Open Sans" w:eastAsia="Open Sans" w:hAnsi="Open Sans"/>
          <w:b w:val="false"/>
          <w:bCs w:val="false"/>
          <w:i w:val="false"/>
          <w:iCs w:val="false"/>
          <w:color w:val="59595B"/>
          <w:sz w:val="22"/>
          <w:szCs w:val="22"/>
        </w:rPr>
        <w:t xml:space="preserve">Most established, well-run companies — including Anderson — sit at the first rung of the widely-used AI maturity model (consistent with Gartner and Google Cloud frameworks). The leaders in commercial real estate are only one or two rungs higher, and in this industry the gap closes in months, not years — only a small share of firms report achieving their AI goals.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9"/>
        <w:gridCol w:w="5348"/>
        <w:gridCol w:w="1873"/>
      </w:tblGrid>
      <w:tr>
        <w:trPr>
          <w:cantSplit/>
          <w:tblHeader/>
        </w:trPr>
        <w:tc>
          <w:tcPr>
            <w:tcW w:type="dxa" w:w="21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3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Looks Like</w:t>
            </w:r>
          </w:p>
        </w:tc>
        <w:tc>
          <w:tcPr>
            <w:tcW w:type="dxa" w:w="18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Anderson Today</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Foundational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Little or no AI; lease, CAM, and reporting work is manual and people-dependent</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 Emerging</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First AI tools enter a workflow (a lease-abstraction pilot, leasing visibility) but AI is not yet woven into growth or operations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 You are here</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Operational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runs specific workflows day-to-day — lease intelligence, CAM, tenant assistant — with measured results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Scaled</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embedded across leasing and portfolio operations with governance and dashboards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Transformational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the default way the portfolio is run and the way Anderson competes for tenants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Anderson is well-positioned to move quickly: a finite, known buyer universe and a document-heavy operation are exactly where AI pays back fastest. This report is the plan to reach Operational — AI working in the leasing engine and inside portfolio operations — within twelve months.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Adopting AI Responsibly — Three Risks Every Leader Manages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U.S. government’s NIST AI Risk Management Framework gives leaders a simple mental model — Govern, Map, Measure, Manage. For a firm holding tenant PII, financial data, and lease documents, three risks matter most, and each has a concrete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3700"/>
        <w:gridCol w:w="3701"/>
      </w:tblGrid>
      <w:tr>
        <w:trPr>
          <w:cantSplit/>
          <w:tblHeader/>
        </w:trPr>
        <w:tc>
          <w:tcPr>
            <w:tcW w:type="dxa" w:w="1959"/>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Risk</w:t>
            </w:r>
          </w:p>
        </w:tc>
        <w:tc>
          <w:tcPr>
            <w:tcW w:type="dxa" w:w="370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w:t>
            </w:r>
          </w:p>
        </w:tc>
        <w:tc>
          <w:tcPr>
            <w:tcW w:type="dxa" w:w="370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Technijian Controls It</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Hallucination</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can state a confident, wrong answer</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Human-in-the-loop review on anything tenant-facing or contract-bound — AI drafts the lease abstract, a person approves; every term links back to the source page</w:t>
            </w:r>
          </w:p>
        </w:tc>
      </w:tr>
      <w:tr>
        <w:trPr>
          <w:cantSplit/>
        </w:trPr>
        <w:tc>
          <w:tcPr>
            <w:tcW w:type="dxa" w:w="19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leakage</w:t>
            </w:r>
          </w:p>
        </w:tc>
        <w:tc>
          <w:tcPr>
            <w:tcW w:type="dxa" w:w="37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 data pasted into public tools can escape</w:t>
            </w:r>
          </w:p>
        </w:tc>
        <w:tc>
          <w:tcPr>
            <w:tcW w:type="dxa" w:w="37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Private, governed AI deployments — lease documents, tenant PII, and financial data never touch a public model</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accountability</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Untracked AI tools create audit gaps</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AI tool inventoried with owner, vendor, and data source — led by a CISSP-certified team, with the free Nexus Assess as the baseline</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Comparable Organizations Are Already Doing</w:t>
      </w:r>
    </w:p>
    <w:p>
      <w:pPr>
        <w:pStyle w:val="ListParagraph"/>
        <w:numPr>
          <w:ilvl w:val="0"/>
          <w:numId w:val="2"/>
        </w:numPr>
        <w:spacing w:after="80" w:before="40" w:line="300"/>
      </w:pPr>
      <w:r>
        <w:rPr>
          <w:rFonts w:ascii="Open Sans" w:cs="Open Sans" w:eastAsia="Open Sans" w:hAnsi="Open Sans"/>
          <w:color w:val="59595B"/>
          <w:sz w:val="22"/>
          <w:szCs w:val="22"/>
        </w:rPr>
        <w:t xml:space="preserve">Commercial real estate operations: owner-operators are using AI to abstract complex leases in minutes instead of hours, recovering analyst capacity without adding headcount.</w:t>
      </w:r>
    </w:p>
    <w:p>
      <w:pPr>
        <w:pStyle w:val="ListParagraph"/>
        <w:numPr>
          <w:ilvl w:val="0"/>
          <w:numId w:val="2"/>
        </w:numPr>
        <w:spacing w:after="80" w:before="40" w:line="300"/>
      </w:pPr>
      <w:r>
        <w:rPr>
          <w:rFonts w:ascii="Open Sans" w:cs="Open Sans" w:eastAsia="Open Sans" w:hAnsi="Open Sans"/>
          <w:color w:val="59595B"/>
          <w:sz w:val="22"/>
          <w:szCs w:val="22"/>
        </w:rPr>
        <w:t xml:space="preserve">Leasing &amp; tenant growth: landlords and brokers are using AI search optimization to become the cited answer when a tenant or broker asks an AI tool "where can I lease premium space in this submarket?" — capturing demand competitors never see.</w:t>
      </w:r>
    </w:p>
    <w:p>
      <w:pPr>
        <w:pStyle w:val="ListParagraph"/>
        <w:numPr>
          <w:ilvl w:val="0"/>
          <w:numId w:val="2"/>
        </w:numPr>
        <w:spacing w:after="80" w:before="40" w:line="300"/>
      </w:pPr>
      <w:r>
        <w:rPr>
          <w:rFonts w:ascii="Open Sans" w:cs="Open Sans" w:eastAsia="Open Sans" w:hAnsi="Open Sans"/>
          <w:color w:val="59595B"/>
          <w:sz w:val="22"/>
          <w:szCs w:val="22"/>
        </w:rPr>
        <w:t xml:space="preserve">Family-office and multi-entity firms: knowledge-heavy operations are capturing decades of institutional decisions and relationships into a searchable AI layer so expertise survives turnover.</w:t>
      </w:r>
    </w:p>
    <w:p>
      <w:pPr>
        <w:spacing w:after="140" w:before="40" w:line="320"/>
        <w:jc w:val="both"/>
      </w:pPr>
      <w:r>
        <w:rPr>
          <w:rFonts w:ascii="Open Sans" w:cs="Open Sans" w:eastAsia="Open Sans" w:hAnsi="Open Sans"/>
          <w:b w:val="false"/>
          <w:bCs w:val="false"/>
          <w:i/>
          <w:iCs/>
          <w:color w:val="59595B"/>
          <w:sz w:val="19"/>
          <w:szCs w:val="19"/>
        </w:rPr>
        <w:t xml:space="preserve">These are representative directions of travel across comparable organizations, not guarantees; Anderson’s own numbers would be confirmed in discovery. Technijian’s specific builds and how they map to Anderson appear in Section 7 (Capability Proof), and the return is modeled in Section 11.</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 Day in the Life — An Anderson Lease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Before vs. After AI</w:t>
            </w:r>
          </w:p>
          <w:p>
            <w:pPr>
              <w:keepNext/>
              <w:keepLines/>
              <w:spacing w:after="60" w:before="40" w:line="300"/>
            </w:pPr>
            <w:r>
              <w:rPr>
                <w:rFonts w:ascii="Open Sans" w:cs="Open Sans" w:eastAsia="Open Sans" w:hAnsi="Open Sans"/>
                <w:color w:val="59595B"/>
                <w:sz w:val="20"/>
                <w:szCs w:val="20"/>
              </w:rPr>
              <w:t xml:space="preserve">TODAY: An administrator opens a complex commercial lease, reads it end to end, and spends two to three hours by hand pulling the commencement and expiration dates, renewal and termination options, escalation schedule, and CAM terms into a spreadsheet — then does it again for the next lease, across 250+ of them. Critical dates live in documents and in a few people’s heads.</w:t>
            </w:r>
          </w:p>
          <w:p>
            <w:pPr>
              <w:keepNext w:val="false"/>
              <w:keepLines/>
              <w:spacing w:after="60" w:before="40" w:line="300"/>
            </w:pPr>
            <w:r>
              <w:rPr>
                <w:rFonts w:ascii="Open Sans" w:cs="Open Sans" w:eastAsia="Open Sans" w:hAnsi="Open Sans"/>
                <w:color w:val="59595B"/>
                <w:sz w:val="20"/>
                <w:szCs w:val="20"/>
              </w:rPr>
              <w:t xml:space="preserve">WITH AI: The lease is abstracted in minutes into a searchable summary with every extracted term linked back to its source page; the administrator reviews and approves. Renewal options and escalations surface automatically across the whole portfolio, so nothing is missed — and the same standard holds whether the original administrator is at her desk, on vacation, or retired.</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Why a Partner — vs. Hiring or Doing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Path</w:t>
            </w:r>
          </w:p>
        </w:tc>
        <w:tc>
          <w:tcPr>
            <w:tcW w:type="dxa" w:w="70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Reality</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DIY tools</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Inexpensive, but Anderson assembles, secures, and governs everything — and owns the three risks above alone, on a lean family-office team</w:t>
            </w:r>
          </w:p>
        </w:tc>
      </w:tr>
      <w:tr>
        <w:trPr>
          <w:cantSplit/>
        </w:trPr>
        <w:tc>
          <w:tcPr>
            <w:tcW w:type="dxa" w:w="22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Hire in-house</w:t>
            </w:r>
          </w:p>
        </w:tc>
        <w:tc>
          <w:tcPr>
            <w:tcW w:type="dxa" w:w="70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capable AI leader typically costs $180K+/year and is scarce, and one person cannot cover strategy, build, security, and governance</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Partner (Technijian)</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Strategy, build, security, and governance in one team at a fraction of a hire — with proven builds and CISSP-led security</w:t>
            </w:r>
          </w:p>
        </w:tc>
      </w:tr>
    </w:tbl>
    <w:p>
      <w:pPr>
        <w:spacing w:after="140" w:before="100" w:line="320"/>
        <w:jc w:val="both"/>
      </w:pPr>
      <w:r>
        <w:rPr>
          <w:rFonts w:ascii="Open Sans" w:cs="Open Sans" w:eastAsia="Open Sans" w:hAnsi="Open Sans"/>
          <w:b w:val="false"/>
          <w:bCs w:val="false"/>
          <w:i/>
          <w:iCs/>
          <w:color w:val="59595B"/>
          <w:sz w:val="18"/>
          <w:szCs w:val="18"/>
        </w:rPr>
        <w:t xml:space="preserve">Sources cited in this section: MIT Sloan Management (AI literacy); Anthropic (AI system design); the widely-used five-stage AI maturity model (consistent with Gartner and Google Cloud frameworks); U.S. NIST AI Risk Management Framework. Full references in the Appendix.</w:t>
      </w:r>
    </w:p>
    <w:p>
      <w:pPr>
        <w:pStyle w:val="Heading1"/>
        <w:keepNext/>
        <w:pageBreakBefore/>
        <w:spacing w:after="120" w:before="0" w:line="240"/>
      </w:pPr>
      <w:r>
        <w:rPr>
          <w:rFonts w:ascii="Open Sans" w:cs="Open Sans" w:eastAsia="Open Sans" w:hAnsi="Open Sans"/>
          <w:color w:val="FFFFFF"/>
          <w:sz w:val="2"/>
          <w:szCs w:val="2"/>
        </w:rPr>
        <w:t xml:space="preserve">09  Front 1 — AI for Leasing &amp; Tenant Growth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09  Front 1 — AI for Leasing &amp; Tenant Growth</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Commercial leasing is won through relationships, not broadcast marketing — so this front is account-based from end to end. The goal is not to "generate leads"; it is to know which named tenants are in-market, which brokers represent them, and to reach them faster and more credibly than the competing landlord down the street. AI does the finding, watching, and drafting; the Anderson team does the relationship.</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AI Tools for Front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2"/>
        <w:gridCol w:w="3573"/>
        <w:gridCol w:w="1872"/>
        <w:gridCol w:w="1703"/>
      </w:tblGrid>
      <w:tr>
        <w:trPr>
          <w:cantSplit/>
          <w:tblHeader/>
        </w:trPr>
        <w:tc>
          <w:tcPr>
            <w:tcW w:type="dxa" w:w="221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Tool</w:t>
            </w:r>
          </w:p>
        </w:tc>
        <w:tc>
          <w:tcPr>
            <w:tcW w:type="dxa" w:w="35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Use Case</w:t>
            </w:r>
          </w:p>
        </w:tc>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Impact</w:t>
            </w:r>
          </w:p>
        </w:tc>
        <w:tc>
          <w:tcPr>
            <w:tcW w:type="dxa" w:w="17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22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Leasing AEO / GEO content</w:t>
            </w:r>
          </w:p>
        </w:tc>
        <w:tc>
          <w:tcPr>
            <w:tcW w:type="dxa" w:w="35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 the cited answer for "Century City office space" and Westside retail searches</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direct, qualified inquiry</w:t>
            </w:r>
          </w:p>
        </w:tc>
        <w:tc>
          <w:tcPr>
            <w:tcW w:type="dxa" w:w="17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22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Broker &amp; tenant signal monitoring</w:t>
            </w:r>
          </w:p>
        </w:tc>
        <w:tc>
          <w:tcPr>
            <w:tcW w:type="dxa" w:w="35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Track named in-market tenants, lease expirations, funding, and moves</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Reach the right tenant first</w:t>
            </w:r>
          </w:p>
        </w:tc>
        <w:tc>
          <w:tcPr>
            <w:tcW w:type="dxa" w:w="17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22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Tour &amp; proposal automation</w:t>
            </w:r>
          </w:p>
        </w:tc>
        <w:tc>
          <w:tcPr>
            <w:tcW w:type="dxa" w:w="35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Draft on-brand leasing proposals, OMs, and follow-ups in hours</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 hours to respond</w:t>
            </w:r>
          </w:p>
        </w:tc>
        <w:tc>
          <w:tcPr>
            <w:tcW w:type="dxa" w:w="17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22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Family-brand authority</w:t>
            </w:r>
          </w:p>
        </w:tc>
        <w:tc>
          <w:tcPr>
            <w:tcW w:type="dxa" w:w="35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Tell the Ares-anchor and "people-first" story; tenant testimonials</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Higher tour-to-lease conversion</w:t>
            </w:r>
          </w:p>
        </w:tc>
        <w:tc>
          <w:tcPr>
            <w:tcW w:type="dxa" w:w="17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My AI</w:t>
            </w:r>
          </w:p>
        </w:tc>
      </w:tr>
      <w:tr>
        <w:trPr>
          <w:cantSplit/>
        </w:trPr>
        <w:tc>
          <w:tcPr>
            <w:tcW w:type="dxa" w:w="22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Account-based outreach</w:t>
            </w:r>
          </w:p>
        </w:tc>
        <w:tc>
          <w:tcPr>
            <w:tcW w:type="dxa" w:w="35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Personalized per-broker and per-tenant outreach — never mass mailing</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Warmer named-account pipeline</w:t>
            </w:r>
          </w:p>
        </w:tc>
        <w:tc>
          <w:tcPr>
            <w:tcW w:type="dxa" w:w="17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Account-Based, Not "Lead Generation"</w:t>
            </w:r>
          </w:p>
          <w:p>
            <w:pPr>
              <w:keepNext/>
              <w:keepLines/>
              <w:spacing w:after="60" w:before="40" w:line="300"/>
            </w:pPr>
            <w:r>
              <w:rPr>
                <w:rFonts w:ascii="Open Sans" w:cs="Open Sans" w:eastAsia="Open Sans" w:hAnsi="Open Sans"/>
                <w:color w:val="59595B"/>
                <w:sz w:val="20"/>
                <w:szCs w:val="20"/>
              </w:rPr>
              <w:t xml:space="preserve">Anderson already knows who its targets are — the brokers and the firms in-market for Westside space. The value of AI is depth and timing against that known universe, not volume against an anonymous one.</w:t>
            </w:r>
          </w:p>
          <w:p>
            <w:pPr>
              <w:keepNext/>
              <w:keepLines/>
              <w:spacing w:after="60" w:before="40" w:line="300"/>
            </w:pPr>
            <w:r>
              <w:rPr>
                <w:rFonts w:ascii="Open Sans" w:cs="Open Sans" w:eastAsia="Open Sans" w:hAnsi="Open Sans"/>
                <w:color w:val="59595B"/>
                <w:sz w:val="20"/>
                <w:szCs w:val="20"/>
              </w:rPr>
              <w:t xml:space="preserve">Every output here supports a human relationship: AI surfaces the signal and drafts the first version; the Anderson team makes the call, hosts the tour, and earns the trust.</w:t>
            </w:r>
          </w:p>
          <w:p>
            <w:pPr>
              <w:keepNext w:val="false"/>
              <w:keepLines/>
              <w:spacing w:after="60" w:before="40" w:line="300"/>
            </w:pPr>
            <w:r>
              <w:rPr>
                <w:rFonts w:ascii="Open Sans" w:cs="Open Sans" w:eastAsia="Open Sans" w:hAnsi="Open Sans"/>
                <w:color w:val="59595B"/>
                <w:sz w:val="20"/>
                <w:szCs w:val="20"/>
              </w:rPr>
              <w:t xml:space="preserve">This is the right framing for a relationship-driven, family-owned landlord — and the opposite of the "shotgun" marketing that would erode the brand it took fifty years to build.</w:t>
            </w:r>
          </w:p>
        </w:tc>
      </w:tr>
    </w:tbl>
    <w:p>
      <w:pPr>
        <w:pStyle w:val="Heading1"/>
        <w:keepNext/>
        <w:pageBreakBefore/>
        <w:spacing w:after="120" w:before="0" w:line="240"/>
      </w:pPr>
      <w:r>
        <w:rPr>
          <w:rFonts w:ascii="Open Sans" w:cs="Open Sans" w:eastAsia="Open Sans" w:hAnsi="Open Sans"/>
          <w:color w:val="FFFFFF"/>
          <w:sz w:val="2"/>
          <w:szCs w:val="2"/>
        </w:rPr>
        <w:t xml:space="preserve">10  Front 2 — AI for Portfolio Operations &amp; Efficiency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10  Front 2 — AI for Portfolio Operations &amp; Efficiency</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front is where the fastest, surest return lives. A 3.1M sq ft portfolio across nine markets generates an enormous amount of repetitive, document-heavy work — lease administration, CAM reconciliation, maintenance coordination, reporting — most of it still done by hand or buried in files and people’s heads. AI does not replace the team here; it removes the drudgery so the team can do the judgment work, and it surfaces what was previously invisible.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AI Tools for Front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2"/>
        <w:gridCol w:w="3573"/>
        <w:gridCol w:w="1872"/>
        <w:gridCol w:w="1703"/>
      </w:tblGrid>
      <w:tr>
        <w:trPr>
          <w:cantSplit/>
          <w:tblHeader/>
        </w:trPr>
        <w:tc>
          <w:tcPr>
            <w:tcW w:type="dxa" w:w="221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Tool</w:t>
            </w:r>
          </w:p>
        </w:tc>
        <w:tc>
          <w:tcPr>
            <w:tcW w:type="dxa" w:w="35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Use Case</w:t>
            </w:r>
          </w:p>
        </w:tc>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Impact</w:t>
            </w:r>
          </w:p>
        </w:tc>
        <w:tc>
          <w:tcPr>
            <w:tcW w:type="dxa" w:w="17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22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 abstraction &amp; intelligence</w:t>
            </w:r>
          </w:p>
        </w:tc>
        <w:tc>
          <w:tcPr>
            <w:tcW w:type="dxa" w:w="35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Abstract 250+ leases; surface dates, options, escalations, CAM — source-linked</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FTE recovered</w:t>
            </w:r>
          </w:p>
        </w:tc>
        <w:tc>
          <w:tcPr>
            <w:tcW w:type="dxa" w:w="17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22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CAM reconciliation automation</w:t>
            </w:r>
          </w:p>
        </w:tc>
        <w:tc>
          <w:tcPr>
            <w:tcW w:type="dxa" w:w="35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Reduce manual common-area-maintenance math across 53 properties</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Faster, cleaner billbacks</w:t>
            </w:r>
          </w:p>
        </w:tc>
        <w:tc>
          <w:tcPr>
            <w:tcW w:type="dxa" w:w="17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22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 intelligence</w:t>
            </w:r>
          </w:p>
        </w:tc>
        <w:tc>
          <w:tcPr>
            <w:tcW w:type="dxa" w:w="35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Estoppels, SNDAs, insurance certs, vendor contracts summarized &amp; tracked</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Fewer missed obligations</w:t>
            </w:r>
          </w:p>
        </w:tc>
        <w:tc>
          <w:tcPr>
            <w:tcW w:type="dxa" w:w="17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22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Maintenance / work-order triage</w:t>
            </w:r>
          </w:p>
        </w:tc>
        <w:tc>
          <w:tcPr>
            <w:tcW w:type="dxa" w:w="35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AI-route tenant requests; flag predictive upkeep across the engineering team</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Lower response time &amp; downtime</w:t>
            </w:r>
          </w:p>
        </w:tc>
        <w:tc>
          <w:tcPr>
            <w:tcW w:type="dxa" w:w="17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Chat.AI + My Dev</w:t>
            </w:r>
          </w:p>
        </w:tc>
      </w:tr>
      <w:tr>
        <w:trPr>
          <w:cantSplit/>
        </w:trPr>
        <w:tc>
          <w:tcPr>
            <w:tcW w:type="dxa" w:w="22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Portfolio analytics dashboard</w:t>
            </w:r>
          </w:p>
        </w:tc>
        <w:tc>
          <w:tcPr>
            <w:tcW w:type="dxa" w:w="35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Occupancy, rollover exposure, revenue, and anomalies in one live view</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Faster leadership decisions</w:t>
            </w:r>
          </w:p>
        </w:tc>
        <w:tc>
          <w:tcPr>
            <w:tcW w:type="dxa" w:w="17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22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Tenant-experience assistant</w:t>
            </w:r>
          </w:p>
        </w:tc>
        <w:tc>
          <w:tcPr>
            <w:tcW w:type="dxa" w:w="35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24/7 AI assistant for tenant requests and building information</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Higher satisfaction &amp; retention</w:t>
            </w:r>
          </w:p>
        </w:tc>
        <w:tc>
          <w:tcPr>
            <w:tcW w:type="dxa" w:w="17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Chat.AI</w:t>
            </w:r>
          </w:p>
        </w:tc>
      </w:tr>
      <w:tr>
        <w:trPr>
          <w:cantSplit/>
        </w:trPr>
        <w:tc>
          <w:tcPr>
            <w:tcW w:type="dxa" w:w="22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Institutional knowledge retention</w:t>
            </w:r>
          </w:p>
        </w:tc>
        <w:tc>
          <w:tcPr>
            <w:tcW w:type="dxa" w:w="35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50 years of family-firm decisions and relationships</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Knowledge survives turnover</w:t>
            </w:r>
          </w:p>
        </w:tc>
        <w:tc>
          <w:tcPr>
            <w:tcW w:type="dxa" w:w="17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Lease-Intelligence Quick Win</w:t>
            </w:r>
          </w:p>
          <w:p>
            <w:pPr>
              <w:keepNext/>
              <w:keepLines/>
              <w:spacing w:after="60" w:before="40" w:line="300"/>
            </w:pPr>
            <w:r>
              <w:rPr>
                <w:rFonts w:ascii="Open Sans" w:cs="Open Sans" w:eastAsia="Open Sans" w:hAnsi="Open Sans"/>
                <w:color w:val="59595B"/>
                <w:sz w:val="20"/>
                <w:szCs w:val="20"/>
              </w:rPr>
              <w:t xml:space="preserve">A human analyst spends two to three hours abstracting a single complex commercial lease. Across 250+ leases, doing this by hand is a recurring tax on the team — and the data still ends up scattered.</w:t>
            </w:r>
          </w:p>
          <w:p>
            <w:pPr>
              <w:keepNext/>
              <w:keepLines/>
              <w:spacing w:after="60" w:before="40" w:line="300"/>
            </w:pPr>
            <w:r>
              <w:rPr>
                <w:rFonts w:ascii="Open Sans" w:cs="Open Sans" w:eastAsia="Open Sans" w:hAnsi="Open Sans"/>
                <w:color w:val="59595B"/>
                <w:sz w:val="20"/>
                <w:szCs w:val="20"/>
              </w:rPr>
              <w:t xml:space="preserve">AI abstracts each lease in minutes, links every extracted term back to the source page, and makes the whole portfolio searchable — critical dates, renewal options, escalations, and CAM terms surfaced automatically.</w:t>
            </w:r>
          </w:p>
          <w:p>
            <w:pPr>
              <w:keepNext w:val="false"/>
              <w:keepLines/>
              <w:spacing w:after="60" w:before="40" w:line="300"/>
            </w:pPr>
            <w:r>
              <w:rPr>
                <w:rFonts w:ascii="Open Sans" w:cs="Open Sans" w:eastAsia="Open Sans" w:hAnsi="Open Sans"/>
                <w:color w:val="59595B"/>
                <w:sz w:val="20"/>
                <w:szCs w:val="20"/>
              </w:rPr>
              <w:t xml:space="preserve">This single capability recovers the equivalent of one to two full-time analysts, eliminates missed options and escalations, and pays back faster than anything else in the plan. It is the recommended first move.</w:t>
            </w:r>
          </w:p>
        </w:tc>
      </w:tr>
    </w:tbl>
    <w:p>
      <w:pPr>
        <w:pStyle w:val="Heading1"/>
        <w:keepNext/>
        <w:pageBreakBefore/>
        <w:spacing w:after="120" w:before="0" w:line="240"/>
      </w:pPr>
      <w:r>
        <w:rPr>
          <w:rFonts w:ascii="Open Sans" w:cs="Open Sans" w:eastAsia="Open Sans" w:hAnsi="Open Sans"/>
          <w:color w:val="FFFFFF"/>
          <w:sz w:val="2"/>
          <w:szCs w:val="2"/>
        </w:rPr>
        <w:t xml:space="preserve">11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model below is built from public market data and industry benchmarks because Anderson’s internal numbers were not available for this draft. Every figure is estimated and deliberately conservative; the discovery questions in Section 14 replace them with real baselines. The program is structured to land small and expand — prove the return on a modest entry, then build the larger engine once it is earned.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Operating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433"/>
        <w:gridCol w:w="2433"/>
        <w:gridCol w:w="1686"/>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 abstraction</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2–3 hrs/lease, manual</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Minutes, source-linked</w:t>
            </w:r>
          </w:p>
        </w:tc>
        <w:tc>
          <w:tcPr>
            <w:tcW w:type="dxa" w:w="1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FTE freed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Lease-data visibility</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 documents &amp; people’s heads</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Searchable portfolio-wide</w:t>
            </w:r>
          </w:p>
        </w:tc>
        <w:tc>
          <w:tcPr>
            <w:tcW w:type="dxa" w:w="1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missed options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Leasing visibility</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Broker-dependent</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in Google + AI answers</w:t>
            </w:r>
          </w:p>
        </w:tc>
        <w:tc>
          <w:tcPr>
            <w:tcW w:type="dxa" w:w="1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direct inquiry</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Tenant request handling</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Phone/email, business hours</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24/7 AI assistant + routing</w:t>
            </w:r>
          </w:p>
        </w:tc>
        <w:tc>
          <w:tcPr>
            <w:tcW w:type="dxa" w:w="1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Faster, happier tenants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Portfolio reporting</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multi-spreadsheet</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One live dashboard</w:t>
            </w:r>
          </w:p>
        </w:tc>
        <w:tc>
          <w:tcPr>
            <w:tcW w:type="dxa" w:w="1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Real-time rollover view</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Value at Stake vs. the Entry Program (Estimated)</w:t>
      </w:r>
    </w:p>
    <w:p>
      <w:pPr>
        <w:spacing w:after="140" w:before="0" w:line="320"/>
        <w:jc w:val="both"/>
      </w:pPr>
      <w:r>
        <w:rPr>
          <w:rFonts w:ascii="Open Sans" w:cs="Open Sans" w:eastAsia="Open Sans" w:hAnsi="Open Sans"/>
          <w:b w:val="false"/>
          <w:bCs w:val="false"/>
          <w:i w:val="false"/>
          <w:iCs w:val="false"/>
          <w:color w:val="59595B"/>
          <w:sz w:val="20"/>
          <w:szCs w:val="20"/>
        </w:rPr>
        <w:t xml:space="preserve">Because a single month of avoided vacancy on Century City office runs to six figures and lease intelligence recovers one to two analysts, the return is modeled against the small entry investment. The very-conservative floor is labeled Downside-Protected; lead with the Likely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21"/>
        <w:gridCol w:w="1946"/>
        <w:gridCol w:w="1946"/>
        <w:gridCol w:w="1947"/>
      </w:tblGrid>
      <w:tr>
        <w:trPr>
          <w:cantSplit/>
          <w:tblHeader/>
        </w:trPr>
        <w:tc>
          <w:tcPr>
            <w:tcW w:type="dxa" w:w="352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Value Lever (Y1, estimated)</w:t>
            </w:r>
          </w:p>
        </w:tc>
        <w:tc>
          <w:tcPr>
            <w:tcW w:type="dxa" w:w="19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Downside-Protected</w:t>
            </w:r>
          </w:p>
        </w:tc>
        <w:tc>
          <w:tcPr>
            <w:tcW w:type="dxa" w:w="19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Likely</w:t>
            </w:r>
          </w:p>
        </w:tc>
        <w:tc>
          <w:tcPr>
            <w:tcW w:type="dxa" w:w="194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Upside</w:t>
            </w:r>
          </w:p>
        </w:tc>
      </w:tr>
      <w:tr>
        <w:trPr>
          <w:cantSplit/>
        </w:trPr>
        <w:tc>
          <w:tcPr>
            <w:tcW w:type="dxa" w:w="352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Recovered operations capacity (lease abstraction, CAM, reporting)</w:t>
            </w:r>
          </w:p>
        </w:tc>
        <w:tc>
          <w:tcPr>
            <w:tcW w:type="dxa" w:w="19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$60,000</w:t>
            </w:r>
          </w:p>
        </w:tc>
        <w:tc>
          <w:tcPr>
            <w:tcW w:type="dxa" w:w="19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$90,000</w:t>
            </w:r>
          </w:p>
        </w:tc>
        <w:tc>
          <w:tcPr>
            <w:tcW w:type="dxa" w:w="194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$120,000</w:t>
            </w:r>
          </w:p>
        </w:tc>
      </w:tr>
      <w:tr>
        <w:trPr>
          <w:cantSplit/>
        </w:trPr>
        <w:tc>
          <w:tcPr>
            <w:tcW w:type="dxa" w:w="352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Leasing velocity — faster fill of repositioned space</w:t>
            </w:r>
          </w:p>
        </w:tc>
        <w:tc>
          <w:tcPr>
            <w:tcW w:type="dxa" w:w="19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9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$80,000</w:t>
            </w:r>
          </w:p>
        </w:tc>
        <w:tc>
          <w:tcPr>
            <w:tcW w:type="dxa" w:w="194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$200,000</w:t>
            </w:r>
          </w:p>
        </w:tc>
      </w:tr>
      <w:tr>
        <w:trPr>
          <w:cantSplit/>
        </w:trPr>
        <w:tc>
          <w:tcPr>
            <w:tcW w:type="dxa" w:w="352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Tenant retention — fewer avoidable move-outs</w:t>
            </w:r>
          </w:p>
        </w:tc>
        <w:tc>
          <w:tcPr>
            <w:tcW w:type="dxa" w:w="19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$15,000</w:t>
            </w:r>
          </w:p>
        </w:tc>
        <w:tc>
          <w:tcPr>
            <w:tcW w:type="dxa" w:w="19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$45,000</w:t>
            </w:r>
          </w:p>
        </w:tc>
        <w:tc>
          <w:tcPr>
            <w:tcW w:type="dxa" w:w="194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$90,000</w:t>
            </w:r>
          </w:p>
        </w:tc>
      </w:tr>
      <w:tr>
        <w:trPr>
          <w:cantSplit/>
        </w:trPr>
        <w:tc>
          <w:tcPr>
            <w:tcW w:type="dxa" w:w="352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value attributed</w:t>
            </w:r>
          </w:p>
        </w:tc>
        <w:tc>
          <w:tcPr>
            <w:tcW w:type="dxa" w:w="19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$75,000</w:t>
            </w:r>
          </w:p>
        </w:tc>
        <w:tc>
          <w:tcPr>
            <w:tcW w:type="dxa" w:w="19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$215,000</w:t>
            </w:r>
          </w:p>
        </w:tc>
        <w:tc>
          <w:tcPr>
            <w:tcW w:type="dxa" w:w="194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$410,000</w:t>
            </w:r>
          </w:p>
        </w:tc>
      </w:tr>
      <w:tr>
        <w:trPr>
          <w:cantSplit/>
        </w:trPr>
        <w:tc>
          <w:tcPr>
            <w:tcW w:type="dxa" w:w="352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Technijian ENTRY investment (Y1)</w:t>
            </w:r>
          </w:p>
        </w:tc>
        <w:tc>
          <w:tcPr>
            <w:tcW w:type="dxa" w:w="19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~$50,000</w:t>
            </w:r>
          </w:p>
        </w:tc>
        <w:tc>
          <w:tcPr>
            <w:tcW w:type="dxa" w:w="19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~$50,000</w:t>
            </w:r>
          </w:p>
        </w:tc>
        <w:tc>
          <w:tcPr>
            <w:tcW w:type="dxa" w:w="194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~$50,000</w:t>
            </w:r>
          </w:p>
        </w:tc>
      </w:tr>
      <w:tr>
        <w:trPr>
          <w:cantSplit/>
        </w:trPr>
        <w:tc>
          <w:tcPr>
            <w:tcW w:type="dxa" w:w="352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vs. entry</w:t>
            </w:r>
          </w:p>
        </w:tc>
        <w:tc>
          <w:tcPr>
            <w:tcW w:type="dxa" w:w="19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1.5×</w:t>
            </w:r>
          </w:p>
        </w:tc>
        <w:tc>
          <w:tcPr>
            <w:tcW w:type="dxa" w:w="19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4.3×</w:t>
            </w:r>
          </w:p>
        </w:tc>
        <w:tc>
          <w:tcPr>
            <w:tcW w:type="dxa" w:w="194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8.2×</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All figures projected, not guaranteed. The expansion build (portfolio dashboard, tenant portal, leasing CRM, full lease rollout) adds gains the entry ratio above does not count.</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Entry Offer — The 90-Day AI Lead-Gen Pilot</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one clearly-scoped, fixed-price program — not an open-ended engagement. The pilot proves the highest-ROI win (lease intelligence), switches on AI-search visibility for Westside space, and demonstrates the lift before any larger build is discussed. It is the headline ask; the Phase-2 expansion in the map below is shown for transparency, not as the first commitment.</w:t>
      </w:r>
    </w:p>
    <w:p>
      <w:pPr>
        <w:pStyle w:val="Heading2"/>
        <w:keepNext/>
        <w:keepLines/>
        <w:spacing w:after="120" w:before="280"/>
      </w:pPr>
      <w:r>
        <w:rPr>
          <w:rFonts w:ascii="Open Sans" w:cs="Open Sans" w:eastAsia="Open Sans" w:hAnsi="Open Sans"/>
          <w:b/>
          <w:bCs/>
          <w:color w:val="006DB6"/>
          <w:sz w:val="26"/>
          <w:szCs w:val="26"/>
        </w:rPr>
        <w:t xml:space="preserve">Service Investment Map — Land and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820"/>
        <w:gridCol w:w="1432"/>
        <w:gridCol w:w="1434"/>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8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43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Leasing Visibility + GEO</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AEO/GEO for Century City office &amp; Westside retail; family-brand authority</w:t>
            </w:r>
          </w:p>
        </w:tc>
        <w:tc>
          <w:tcPr>
            <w:tcW w:type="dxa" w:w="14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$1,250/mo</w:t>
            </w:r>
          </w:p>
        </w:tc>
        <w:tc>
          <w:tcPr>
            <w:tcW w:type="dxa" w:w="14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$15,000</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Lease-Intelligence Pilot + Advisor</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Abstract a first lease tranche + fractional AI advisory and roadmap</w:t>
            </w:r>
          </w:p>
        </w:tc>
        <w:tc>
          <w:tcPr>
            <w:tcW w:type="dxa" w:w="14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$2,500/mo</w:t>
            </w:r>
          </w:p>
        </w:tc>
        <w:tc>
          <w:tcPr>
            <w:tcW w:type="dxa" w:w="14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$30,000</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AI Workshop</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 working session; prioritize the portfolio AI roadmap (1×)</w:t>
            </w:r>
          </w:p>
        </w:tc>
        <w:tc>
          <w:tcPr>
            <w:tcW w:type="dxa" w:w="14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Nexus Assess — IT/Security Risk Scan</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Free, no-commitment assessment across the footprint (Quick Win)</w:t>
            </w:r>
          </w:p>
        </w:tc>
        <w:tc>
          <w:tcPr>
            <w:tcW w:type="dxa" w:w="14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Free</w:t>
            </w:r>
          </w:p>
        </w:tc>
        <w:tc>
          <w:tcPr>
            <w:tcW w:type="dxa" w:w="14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90-DAY AI LEAD-GEN PILOT (the easy yes)</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$3,750/mo + workshop — fixed scope, the entry program</w:t>
            </w:r>
          </w:p>
        </w:tc>
        <w:tc>
          <w:tcPr>
            <w:tcW w:type="dxa" w:w="14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4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~$50,000</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Portfolio Intelligence + Leasing CRM (Phase 2)</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Occupancy/rollover/revenue dashboard + broker/tenant CRM (one-time build)</w:t>
            </w:r>
          </w:p>
        </w:tc>
        <w:tc>
          <w:tcPr>
            <w:tcW w:type="dxa" w:w="14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$90,000</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Tenant Portal + Chat.AI Assistant (Phase 2)</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Tenant-experience portal and 24/7 assistant (one-time build)</w:t>
            </w:r>
          </w:p>
        </w:tc>
        <w:tc>
          <w:tcPr>
            <w:tcW w:type="dxa" w:w="14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$45,000</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Full Lease Rollout + Account Intelligence (Phase 2)</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Abstract all 250+ leases; broker/tenant account-intelligence engine</w:t>
            </w:r>
          </w:p>
        </w:tc>
        <w:tc>
          <w:tcPr>
            <w:tcW w:type="dxa" w:w="14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$3,499/mo</w:t>
            </w:r>
          </w:p>
        </w:tc>
        <w:tc>
          <w:tcPr>
            <w:tcW w:type="dxa" w:w="14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$42,000</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App Services (Phase 2)</w:t>
            </w:r>
          </w:p>
        </w:tc>
        <w:tc>
          <w:tcPr>
            <w:tcW w:type="dxa" w:w="38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ongoing optimization</w:t>
            </w:r>
          </w:p>
        </w:tc>
        <w:tc>
          <w:tcPr>
            <w:tcW w:type="dxa" w:w="14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$1,000/mo</w:t>
            </w:r>
          </w:p>
        </w:tc>
        <w:tc>
          <w:tcPr>
            <w:tcW w:type="dxa" w:w="14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ENGINE (entry + expansion)</w:t>
            </w:r>
          </w:p>
        </w:tc>
        <w:tc>
          <w:tcPr>
            <w:tcW w:type="dxa" w:w="38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 one-time builds</w:t>
            </w:r>
          </w:p>
        </w:tc>
        <w:tc>
          <w:tcPr>
            <w:tcW w:type="dxa" w:w="14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4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~$239,000</w:t>
            </w:r>
          </w:p>
        </w:tc>
      </w:tr>
    </w:tbl>
    <w:p>
      <w:pPr>
        <w:spacing w:after="0" w:before="4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My SEO has published tiers; My AI and My Dev figures are estimated defaults confirmed at quote. The entry is the headline ask; the Phase-2 expansion is shown for transparency but is not the first commitment.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Pilot Bar — and Our Commitment</w:t>
            </w:r>
          </w:p>
          <w:p>
            <w:pPr>
              <w:keepNext/>
              <w:keepLines/>
              <w:spacing w:after="60" w:before="40" w:line="300"/>
            </w:pPr>
            <w:r>
              <w:rPr>
                <w:rFonts w:ascii="Open Sans" w:cs="Open Sans" w:eastAsia="Open Sans" w:hAnsi="Open Sans"/>
                <w:color w:val="59595B"/>
                <w:sz w:val="20"/>
                <w:szCs w:val="20"/>
              </w:rPr>
              <w:t xml:space="preserve">Success metric: within 90 days, a first tranche of Anderson leases is abstracted into a searchable, source-linked view that surfaces critical dates, options, and CAM terms the team can act on — and Anderson begins surfacing in Google and AI answers for at least one high-intent Westside leasing query.</w:t>
            </w:r>
          </w:p>
          <w:p>
            <w:pPr>
              <w:keepNext w:val="false"/>
              <w:keepLines/>
              <w:spacing w:after="60" w:before="40" w:line="300"/>
            </w:pPr>
            <w:r>
              <w:rPr>
                <w:rFonts w:ascii="Open Sans" w:cs="Open Sans" w:eastAsia="Open Sans" w:hAnsi="Open Sans"/>
                <w:color w:val="59595B"/>
                <w:sz w:val="20"/>
                <w:szCs w:val="20"/>
              </w:rPr>
              <w:t xml:space="preserve">Our commitment: the entry program is month-to-month after the initial term — no lock-in. If the pilot has not hit the metric above by day 90, you are under no obligation to continue, and we will tell you honestly whether it is worth continuing. You carry the upside, not the risk.</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Transparent US Labor Rates (for any ad-hoc / project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cantSplit/>
          <w:tblHeader/>
        </w:trPr>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Role</w:t>
            </w:r>
          </w:p>
        </w:tc>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Standard</w:t>
            </w:r>
          </w:p>
        </w:tc>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After-Hours</w:t>
            </w:r>
          </w:p>
        </w:tc>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Contracted</w:t>
            </w:r>
          </w:p>
        </w:tc>
      </w:tr>
      <w:tr>
        <w:trPr>
          <w:cantSplit/>
        </w:trPr>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Technical Support / Engineer</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$150/hr</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$250/hr</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$125/hr</w:t>
            </w:r>
          </w:p>
        </w:tc>
      </w:tr>
      <w:tr>
        <w:trPr>
          <w:cantSplit/>
        </w:trPr>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CTO / vCIO / AI Architect</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$250/hr</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$350/hr</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$225/hr</w:t>
            </w:r>
          </w:p>
        </w:tc>
      </w:tr>
    </w:tbl>
    <w:p>
      <w:pPr>
        <w:spacing w:after="0" w:before="4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A single blended US-led rate; project and ad-hoc work is billed transparently against this card so there are no surprises.</w:t>
      </w:r>
    </w:p>
    <w:p>
      <w:pPr>
        <w:pStyle w:val="Heading1"/>
        <w:keepNext/>
        <w:pageBreakBefore/>
        <w:spacing w:after="120" w:before="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12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365-day cadence and is sequenced land-first: prove the highest-ROI win (lease intelligence) and switch on leasing visibility in the first quarter, stand up the account-based leasing engine next, then build the portfolio intelligence layer and scale across the Anderson Holdings footprint. Meaningful results — abstracted leases, more direct inquiry — are visible inside the first 90 days.</w:t>
      </w:r>
    </w:p>
    <w:p>
      <w:pPr>
        <w:spacing w:after="0" w:before="200"/>
      </w:pPr>
      <w:r>
        <w:t xml:space="preserve"/>
      </w:r>
    </w:p>
    <w:p>
      <w:pPr>
        <w:spacing w:after="80" w:before="120"/>
        <w:jc w:val="center"/>
      </w:pPr>
      <w:r>
        <w:drawing>
          <wp:inline distT="0" distB="0" distL="0" distR="0">
            <wp:extent cx="5715000" cy="2486025"/>
            <wp:effectExtent t="0" r="0" b="0" l="0"/>
            <wp:docPr id="1" name="Anderson 90-180-365 Day Roadmap" descr="Anderson 90-180-365 Day Roadmap" title="Anderson 90-180-365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Anderson Real Estate: 90 / 180 / 365-Day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Prove the return and switch on the fastest wins — no large build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Lease-Intelligence Pilot</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Abstract a first tranche of leases into a searchable, source-linked view; surface critical dates, options, and CAM terms.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Leasing Visibility + Assess</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AEO/GEO for "Century City office space" and Westside retail; run the free Nexus Assess risk scan.</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Leasing Engine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Build the account-based engine that finds, courts, and converts the right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Broker &amp; Tenant Intelligence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Track named in-market tenants, their tenant-rep brokers, and trigger signals across the Westside.</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Tour &amp; Proposal Automation</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Deploy on-brand proposal and follow-up drafting plus the 24/7 tenant assistant; first account outreach live.</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Portfolio Intelligence &amp; Scale (Days 181–365)</w:t>
      </w:r>
    </w:p>
    <w:p>
      <w:pPr>
        <w:spacing w:after="140" w:before="0" w:line="320"/>
        <w:jc w:val="both"/>
      </w:pPr>
      <w:r>
        <w:rPr>
          <w:rFonts w:ascii="Open Sans" w:cs="Open Sans" w:eastAsia="Open Sans" w:hAnsi="Open Sans"/>
          <w:b w:val="false"/>
          <w:bCs w:val="false"/>
          <w:i w:val="false"/>
          <w:iCs w:val="false"/>
          <w:color w:val="59595B"/>
          <w:sz w:val="22"/>
          <w:szCs w:val="22"/>
        </w:rPr>
        <w:t xml:space="preserve">Build the integrated operating layer and extend it across the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Portfolio Dashboard + Full Rollout</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Occupancy/rollover/revenue dashboard live; CAM automation; lease abstraction extended across all 250+ leases.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Scale Across Holdings</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Extend the operating layer toward the other Anderson Holdings lines; ROI dashboard delivered against the Section 14 baselines.</w:t>
            </w:r>
          </w:p>
        </w:tc>
      </w:tr>
    </w:tbl>
    <w:p>
      <w:pPr>
        <w:pStyle w:val="Heading1"/>
        <w:keepNext/>
        <w:pageBreakBefore/>
        <w:spacing w:after="120" w:before="0" w:line="240"/>
      </w:pPr>
      <w:r>
        <w:rPr>
          <w:rFonts w:ascii="Open Sans" w:cs="Open Sans" w:eastAsia="Open Sans" w:hAnsi="Open Sans"/>
          <w:color w:val="FFFFFF"/>
          <w:sz w:val="2"/>
          <w:szCs w:val="2"/>
        </w:rPr>
        <w:t xml:space="preserve">13  Quick Wins — Start This Quarter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13  Quick Wins — Start This Quarter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Anderson can take immediately — before any new engagement. Each creates value now and leads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Run a Free Nexus Assess Across the Footprint</w:t>
            </w:r>
          </w:p>
          <w:p>
            <w:pPr>
              <w:keepNext w:val="false"/>
              <w:keepLines/>
              <w:spacing w:after="60" w:before="40" w:line="300"/>
            </w:pPr>
            <w:r>
              <w:rPr>
                <w:rFonts w:ascii="Open Sans" w:cs="Open Sans" w:eastAsia="Open Sans" w:hAnsi="Open Sans"/>
                <w:color w:val="59595B"/>
                <w:sz w:val="20"/>
                <w:szCs w:val="20"/>
              </w:rPr>
              <w:t xml:space="preserve">Technijian’s Nexus Assess delivers a no-cost risk assessment — internal and external vulnerability, a dark-web credential check, and a Microsoft 365 review — returned as a prioritized remediation roadmap. For a firm holding tenant PII, financial data, and lease documents across 53 properties, it is a concrete, zero-commitment first step that doubles as a compliance head start.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Pick 10 Leases for an Abstraction Pilot</w:t>
            </w:r>
          </w:p>
          <w:p>
            <w:pPr>
              <w:keepNext w:val="false"/>
              <w:keepLines/>
              <w:spacing w:after="60" w:before="40" w:line="300"/>
            </w:pPr>
            <w:r>
              <w:rPr>
                <w:rFonts w:ascii="Open Sans" w:cs="Open Sans" w:eastAsia="Open Sans" w:hAnsi="Open Sans"/>
                <w:color w:val="59595B"/>
                <w:sz w:val="20"/>
                <w:szCs w:val="20"/>
              </w:rPr>
              <w:t xml:space="preserve">Choose ten representative leases and let AI abstract them into a searchable summary with source links. It proves the lease-intelligence ROI on real Anderson documents within days, and the team can judge the time saved firsthand.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Claim the "Century City Office Space" Search</w:t>
            </w:r>
          </w:p>
          <w:p>
            <w:pPr>
              <w:keepNext w:val="false"/>
              <w:keepLines/>
              <w:spacing w:after="60" w:before="40" w:line="300"/>
            </w:pPr>
            <w:r>
              <w:rPr>
                <w:rFonts w:ascii="Open Sans" w:cs="Open Sans" w:eastAsia="Open Sans" w:hAnsi="Open Sans"/>
                <w:color w:val="59595B"/>
                <w:sz w:val="20"/>
                <w:szCs w:val="20"/>
              </w:rPr>
              <w:t xml:space="preserve">Make sure Anderson Towers and the repositioning have a strong, AI-citable web presence for the exact searches tenants and brokers run. Today these queries are answered by the big REITs and brokerages — not by the owner of the space.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Write the Ares-Anchor Story</w:t>
            </w:r>
          </w:p>
          <w:p>
            <w:pPr>
              <w:keepNext w:val="false"/>
              <w:keepLines/>
              <w:spacing w:after="60" w:before="40" w:line="300"/>
            </w:pPr>
            <w:r>
              <w:rPr>
                <w:rFonts w:ascii="Open Sans" w:cs="Open Sans" w:eastAsia="Open Sans" w:hAnsi="Open Sans"/>
                <w:color w:val="59595B"/>
                <w:sz w:val="20"/>
                <w:szCs w:val="20"/>
              </w:rPr>
              <w:t xml:space="preserve">Turn the Ares Management anchor lease into a short, public case story — the kind of credibility signal that courts the next wave of trophy tenants and that AI-assisted content can then amplify across channels.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List Your Rollover Over the Next 24 Months</w:t>
            </w:r>
          </w:p>
          <w:p>
            <w:pPr>
              <w:keepNext w:val="false"/>
              <w:keepLines/>
              <w:spacing w:after="60" w:before="40" w:line="300"/>
            </w:pPr>
            <w:r>
              <w:rPr>
                <w:rFonts w:ascii="Open Sans" w:cs="Open Sans" w:eastAsia="Open Sans" w:hAnsi="Open Sans"/>
                <w:color w:val="59595B"/>
                <w:sz w:val="20"/>
                <w:szCs w:val="20"/>
              </w:rPr>
              <w:t xml:space="preserve">Have the team assemble which leases expire over the next two years. This is the seed of both the retention engine and the portfolio dashboard — and it immediately shows where renewal attention is most urgent.</w:t>
            </w:r>
          </w:p>
        </w:tc>
      </w:tr>
    </w:tbl>
    <w:p>
      <w:pPr>
        <w:pStyle w:val="Heading1"/>
        <w:keepNext/>
        <w:pageBreakBefore/>
        <w:spacing w:after="120" w:before="0" w:line="240"/>
      </w:pPr>
      <w:r>
        <w:rPr>
          <w:rFonts w:ascii="Open Sans" w:cs="Open Sans" w:eastAsia="Open Sans" w:hAnsi="Open Sans"/>
          <w:color w:val="FFFFFF"/>
          <w:sz w:val="2"/>
          <w:szCs w:val="2"/>
        </w:rPr>
        <w:t xml:space="preserve">14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14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11 and 12 are deliberately conservative — a short discovery call replaces them with Anderson’s real baselines and sharpens the whole program. These questions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Occupancy &amp; rollover</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vacancy and which leases expire over 24 months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leasing and retention value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Anderson Towers</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Remaining space to lease and the target tenant profile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Focuses Front 1 on the priority asset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 administration</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 leases are abstracted and tracked today, and by whom</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lease-intelligence ROI</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Leasing team</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Team size, broker relationships, and proposal turnaround</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Designs the account-intelligence layer</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Property-management / accounting platform in use (e.g., Yardi, MRI)</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integration surface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CAM</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 common-area-maintenance reconciliation is done now</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Scopes the finance-automation win</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Reporting</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What leadership reporting exists and how it is produced</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Shapes the portfolio dashboard</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Holdings scope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Whether the other Anderson Holdings lines are in scope later</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Phase-3 scale opportunity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Phase-1 lease pilot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Anderson’s real numbers — not on our conservative estimates.</w:t>
            </w:r>
          </w:p>
        </w:tc>
      </w:tr>
    </w:tbl>
    <w:p>
      <w:pPr>
        <w:pStyle w:val="Heading1"/>
        <w:keepNext/>
        <w:pageBreakBefore/>
        <w:spacing w:after="120" w:before="0" w:line="240"/>
      </w:pPr>
      <w:r>
        <w:rPr>
          <w:rFonts w:ascii="Open Sans" w:cs="Open Sans" w:eastAsia="Open Sans" w:hAnsi="Open Sans"/>
          <w:color w:val="FFFFFF"/>
          <w:sz w:val="2"/>
          <w:szCs w:val="2"/>
        </w:rPr>
        <w:t xml:space="preserve">15  Questions We Usually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Questions We Usually Get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answers to the questions Anderson leadership is most likely asking right now.</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Question</w:t>
            </w:r>
          </w:p>
        </w:tc>
        <w:tc>
          <w:tcPr>
            <w:tcW w:type="dxa" w:w="58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Our Honest Answer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 already have a marketing partner / leasing brokers. Why add Technijian?</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them — leasing is and should stay relationship-driven and broker-led. We add the layer they do not: AI-search visibility (GEO/AEO) so Anderson is the cited answer, lease and document intelligence that recovers analyst capacity, and the portfolio operations automation no broker or ad agency provides. We run alongside your team and your brokers, never over them.</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Isn’t AI mostly hype right now?</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lot of it is. That is why this blueprint starts with one simple, proven automation that pays back fast — abstracting leases in minutes instead of hours — not autonomous "agents" running your business. We use the simplest tool that works, measure it, and only expand what earns its place.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 our data — leases, tenant PII, financials — safe?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Sensitive data never touches a public AI model; we deploy private, governed systems with human review on anything tenant-facing or contract-bound, led by a CISSP-certified team. Data governance is part of the complimentary Nexus Assess in the entry program.</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We’re a lean family-office team. Do we have the bandwidth to manage this?</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point is the opposite — to give your team back hours, not add work. Technijian runs the build and the cadence; your involvement is a short monthly strategy session plus reviewing what we draft. The fractional model means no new hire to manage.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if it doesn’t work?</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 fixed-scope 90-day pilot with a defined success metric (Section 11), month-to-month with no long lock-in. If it has not moved the needle by day 90, you are under no obligation to continue — and we will tell you honestly whether it is worth it.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does it really cost?</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approximately $50K for Year 1 — My SEO at published tiers plus estimated My AI defaults confirmed at quote, with no large up-front build. The full engine (the later expansion) is profiled in Section 11, but only after the pilot proves the lift.</w:t>
            </w:r>
          </w:p>
        </w:tc>
      </w:tr>
    </w:tbl>
    <w:p>
      <w:pPr>
        <w:pStyle w:val="Heading1"/>
        <w:keepNext/>
        <w:pageBreakBefore/>
        <w:spacing w:after="120" w:before="0" w:line="240"/>
      </w:pPr>
      <w:r>
        <w:rPr>
          <w:rFonts w:ascii="Open Sans" w:cs="Open Sans" w:eastAsia="Open Sans" w:hAnsi="Open Sans"/>
          <w:color w:val="FFFFFF"/>
          <w:sz w:val="2"/>
          <w:szCs w:val="2"/>
        </w:rPr>
        <w:t xml:space="preserve">16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16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Anderson Real Estate has the hardest things to build already: a five-decade family track record, a 3.1M sq ft portfolio, and a repositioned Century City campus landing in the strongest office submarket on the West Coast. What it is missing is the operating layer that lets a lean, relationship-driven team move at institutional speed — abstracting leases in minutes, reaching the right tenants through the right brokers, and seeing the whole portfolio in one view. Both fronts are buildable now, on systems Technijian has already delivered.</w:t>
      </w:r>
    </w:p>
    <w:p>
      <w:pPr>
        <w:spacing w:after="140" w:before="0" w:line="320"/>
        <w:jc w:val="both"/>
      </w:pPr>
      <w:r>
        <w:rPr>
          <w:rFonts w:ascii="Open Sans" w:cs="Open Sans" w:eastAsia="Open Sans" w:hAnsi="Open Sans"/>
          <w:b w:val="false"/>
          <w:bCs w:val="false"/>
          <w:i w:val="false"/>
          <w:iCs w:val="false"/>
          <w:color w:val="59595B"/>
          <w:sz w:val="22"/>
          <w:szCs w:val="22"/>
        </w:rPr>
        <w:t xml:space="preserve">The plan is sequenced to earn trust before scale: prove the lease-intelligence return and switch on leasing visibility first, stand up the account-based leasing engine next, then build the portfolio intelligence layer and extend it across the Anderson Holdings footprint. Small, honest entry; large, earned expansion.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14 questions and confirm scope — we can run the free Nexus Assess in parallel.</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lease-intelligence pilot and leasing-visibility layer — live inside 14 days of signature.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Ready to make AI the operating layer under Anderson’s next fifty years?</w:t>
            </w:r>
          </w:p>
          <w:p>
            <w:pPr>
              <w:spacing w:after="80"/>
              <w:jc w:val="center"/>
            </w:pPr>
            <w:r>
              <w:rPr>
                <w:rFonts w:ascii="Open Sans" w:cs="Open Sans" w:eastAsia="Open Sans" w:hAnsi="Open Sans"/>
                <w:color w:val="FFFFFF"/>
                <w:sz w:val="22"/>
                <w:szCs w:val="22"/>
              </w:rPr>
              <w:t xml:space="preserve">Ravi Jain, Founder &amp; CEO, Technijian  |  rjain@technijian.com  |  949.379.8499</w:t>
            </w:r>
          </w:p>
          <w:p>
            <w:pPr>
              <w:jc w:val="center"/>
            </w:pPr>
            <w:r>
              <w:rPr>
                <w:rFonts w:ascii="Open Sans" w:cs="Open Sans" w:eastAsia="Open Sans" w:hAnsi="Open Sans"/>
                <w:color w:val="FFFFFF"/>
                <w:sz w:val="20"/>
                <w:szCs w:val="20"/>
              </w:rPr>
              <w:t xml:space="preserve">technijian.com  |  Irvine, CA</w:t>
            </w:r>
          </w:p>
        </w:tc>
      </w:tr>
    </w:tbl>
    <w:p>
      <w:pPr>
        <w:pStyle w:val="Heading1"/>
        <w:keepNext/>
        <w:pageBreakBefore/>
        <w:spacing w:after="120" w:before="0" w:line="240"/>
      </w:pPr>
      <w:r>
        <w:rPr>
          <w:rFonts w:ascii="Open Sans" w:cs="Open Sans" w:eastAsia="Open Sans" w:hAnsi="Open Sans"/>
          <w:color w:val="FFFFFF"/>
          <w:sz w:val="2"/>
          <w:szCs w:val="2"/>
        </w:rPr>
        <w:t xml:space="preserve">17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17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businesses since 2000. We build and operate the AI systems that let organizations work at scale without losing the personal service that defines them — with a cybersecurity-first, AI-forward approach and a dedicated team assigned to each client.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Anderson</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 and document intelligence, account intelligence, CAM automation, and institutional-knowledge retention</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AEO/GEO leasing visibility and family-brand authority — the cited answer for Westside space</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Portfolio-intelligence dashboard, leasing/broker CRM, tenant portal, and integrations — built 3–5× faster</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Chat.AI</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24/7 tenant-experience assistant across the portfolio</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Nexus Assess</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no-cost IT and security risk assessment for a firm holding tenant PII and financial data</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Founder &amp; CEO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949.379.8499 (reaches USA + India)</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pageBreakBefore/>
        <w:spacing w:after="120" w:before="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company intelligence gathered via public web research conducted June 8, 2026. Portfolio figures, leadership, and competitor claims are from publicly available sources and to be confirmed with Anderson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Anderson Real Estate / Anderson Holdings — official sites: andersonrealestate.com, andersonholdings.com (Home, About, Team) — portfolio (53 properties, 3.1M sq ft, 250+ tenants, 9 markets), guiding principles, founding.</w:t>
      </w:r>
    </w:p>
    <w:p>
      <w:pPr>
        <w:spacing w:after="140" w:before="0" w:line="320"/>
        <w:jc w:val="both"/>
      </w:pPr>
      <w:r>
        <w:rPr>
          <w:rFonts w:ascii="Open Sans" w:cs="Open Sans" w:eastAsia="Open Sans" w:hAnsi="Open Sans"/>
          <w:b w:val="false"/>
          <w:bCs w:val="false"/>
          <w:i w:val="false"/>
          <w:iCs w:val="false"/>
          <w:color w:val="59595B"/>
          <w:sz w:val="20"/>
          <w:szCs w:val="20"/>
        </w:rPr>
        <w:t xml:space="preserve">2. Business Wire &amp; Los Angeles Business Journal (Jan 2023) — Anderson Towers $100M reposition; Ares Management anchor; William Anderson, Executive Chairman &amp; CEO, Anderson Holdings.</w:t>
      </w:r>
    </w:p>
    <w:p>
      <w:pPr>
        <w:spacing w:after="140" w:before="0" w:line="320"/>
        <w:jc w:val="both"/>
      </w:pPr>
      <w:r>
        <w:rPr>
          <w:rFonts w:ascii="Open Sans" w:cs="Open Sans" w:eastAsia="Open Sans" w:hAnsi="Open Sans"/>
          <w:b w:val="false"/>
          <w:bCs w:val="false"/>
          <w:i w:val="false"/>
          <w:iCs w:val="false"/>
          <w:color w:val="59595B"/>
          <w:sz w:val="20"/>
          <w:szCs w:val="20"/>
        </w:rPr>
        <w:t xml:space="preserve">3. TheOrg / Crunchbase / LinkedIn — Anderson Real Estate leadership (Jeffrey R. Anderson, Andrew Evans, Tere M. Throenle, Darren S. Bell) and Rebecca Reyna, Chief of Staff.</w:t>
      </w:r>
    </w:p>
    <w:p>
      <w:pPr>
        <w:spacing w:after="140" w:before="0" w:line="320"/>
        <w:jc w:val="both"/>
      </w:pPr>
      <w:r>
        <w:rPr>
          <w:rFonts w:ascii="Open Sans" w:cs="Open Sans" w:eastAsia="Open Sans" w:hAnsi="Open Sans"/>
          <w:b w:val="false"/>
          <w:bCs w:val="false"/>
          <w:i w:val="false"/>
          <w:iCs w:val="false"/>
          <w:color w:val="59595B"/>
          <w:sz w:val="20"/>
          <w:szCs w:val="20"/>
        </w:rPr>
        <w:t xml:space="preserve">4. Wikipedia / LA Business Journal — John E. Anderson, Topa Equities, and the UCLA Anderson School of Management legacy.</w:t>
      </w:r>
    </w:p>
    <w:p>
      <w:pPr>
        <w:spacing w:after="140" w:before="0" w:line="320"/>
        <w:jc w:val="both"/>
      </w:pPr>
      <w:r>
        <w:rPr>
          <w:rFonts w:ascii="Open Sans" w:cs="Open Sans" w:eastAsia="Open Sans" w:hAnsi="Open Sans"/>
          <w:b w:val="false"/>
          <w:bCs w:val="false"/>
          <w:i w:val="false"/>
          <w:iCs w:val="false"/>
          <w:color w:val="59595B"/>
          <w:sz w:val="20"/>
          <w:szCs w:val="20"/>
        </w:rPr>
        <w:t xml:space="preserve">5. Avison Young, The Real Deal, Bisnow, IPG, Kidder Mathews — Century City &amp; Westside Los Angeles office market 2025–2026 (rents near $80/sf, flight to quality, leasing recovery).</w:t>
      </w:r>
    </w:p>
    <w:p>
      <w:pPr>
        <w:spacing w:after="140" w:before="0" w:line="320"/>
        <w:jc w:val="both"/>
      </w:pPr>
      <w:r>
        <w:rPr>
          <w:rFonts w:ascii="Open Sans" w:cs="Open Sans" w:eastAsia="Open Sans" w:hAnsi="Open Sans"/>
          <w:b w:val="false"/>
          <w:bCs w:val="false"/>
          <w:i w:val="false"/>
          <w:iCs w:val="false"/>
          <w:color w:val="59595B"/>
          <w:sz w:val="20"/>
          <w:szCs w:val="20"/>
        </w:rPr>
        <w:t xml:space="preserve">6. Re-Leased, Propmodo, Commercial Observer, Agora, Prophia — AI in commercial real estate 2026 (lease-abstraction ROI, adoption gap of roughly 5%, and proptech venture funding rebounding into the mid-teens of billions in 2025; figures vary by source and are directional).</w:t>
      </w:r>
    </w:p>
    <w:p>
      <w:pPr>
        <w:spacing w:after="140" w:before="0" w:line="320"/>
        <w:jc w:val="both"/>
      </w:pPr>
      <w:r>
        <w:rPr>
          <w:rFonts w:ascii="Open Sans" w:cs="Open Sans" w:eastAsia="Open Sans" w:hAnsi="Open Sans"/>
          <w:b w:val="false"/>
          <w:bCs w:val="false"/>
          <w:i w:val="false"/>
          <w:iCs w:val="false"/>
          <w:color w:val="59595B"/>
          <w:sz w:val="20"/>
          <w:szCs w:val="20"/>
        </w:rPr>
        <w:t xml:space="preserve">7. Technijian service pricing and methodology — My SEO published tiers; My AI, My Dev, Chat.AI, and Nexus Assess scopes; US labor-rate card.</w:t>
      </w:r>
    </w:p>
    <w:p>
      <w:pPr>
        <w:spacing w:after="140" w:before="0" w:line="320"/>
        <w:jc w:val="both"/>
      </w:pPr>
      <w:r>
        <w:rPr>
          <w:rFonts w:ascii="Open Sans" w:cs="Open Sans" w:eastAsia="Open Sans" w:hAnsi="Open Sans"/>
          <w:b w:val="false"/>
          <w:bCs w:val="false"/>
          <w:i w:val="false"/>
          <w:iCs w:val="false"/>
          <w:color w:val="59595B"/>
          <w:sz w:val="20"/>
          <w:szCs w:val="20"/>
        </w:rPr>
        <w:t xml:space="preserve">8. MIT Sloan Management Review — AI literacy for executives (Section 8: framing AI literacy as "what AI can do," not how to build it).</w:t>
      </w:r>
    </w:p>
    <w:p>
      <w:pPr>
        <w:spacing w:after="140" w:before="0" w:line="320"/>
        <w:jc w:val="both"/>
      </w:pPr>
      <w:r>
        <w:rPr>
          <w:rFonts w:ascii="Open Sans" w:cs="Open Sans" w:eastAsia="Open Sans" w:hAnsi="Open Sans"/>
          <w:b w:val="false"/>
          <w:bCs w:val="false"/>
          <w:i w:val="false"/>
          <w:iCs w:val="false"/>
          <w:color w:val="59595B"/>
          <w:sz w:val="20"/>
          <w:szCs w:val="20"/>
        </w:rPr>
        <w:t xml:space="preserve">9. Anthropic — Building Effective Agents (Section 8: the automation/workflow vs. agent distinction and "use the simplest thing that works").</w:t>
      </w:r>
    </w:p>
    <w:p>
      <w:pPr>
        <w:spacing w:after="140" w:before="0" w:line="320"/>
        <w:jc w:val="both"/>
      </w:pPr>
      <w:r>
        <w:rPr>
          <w:rFonts w:ascii="Open Sans" w:cs="Open Sans" w:eastAsia="Open Sans" w:hAnsi="Open Sans"/>
          <w:b w:val="false"/>
          <w:bCs w:val="false"/>
          <w:i w:val="false"/>
          <w:iCs w:val="false"/>
          <w:color w:val="59595B"/>
          <w:sz w:val="20"/>
          <w:szCs w:val="20"/>
        </w:rPr>
        <w:t xml:space="preserve">10. AI maturity models — the widely-used five-stage ladder, consistent with Gartner and Google Cloud AI-adoption frameworks (Section 8).</w:t>
      </w:r>
    </w:p>
    <w:p>
      <w:pPr>
        <w:spacing w:after="140" w:before="0" w:line="320"/>
        <w:jc w:val="both"/>
      </w:pPr>
      <w:r>
        <w:rPr>
          <w:rFonts w:ascii="Open Sans" w:cs="Open Sans" w:eastAsia="Open Sans" w:hAnsi="Open Sans"/>
          <w:b w:val="false"/>
          <w:bCs w:val="false"/>
          <w:i w:val="false"/>
          <w:iCs w:val="false"/>
          <w:color w:val="59595B"/>
          <w:sz w:val="20"/>
          <w:szCs w:val="20"/>
        </w:rPr>
        <w:t xml:space="preserve">11. U.S. NIST AI Risk Management Framework (Govern / Map / Measure / Manage) — Section 8: responsible-AI controls for the three risks.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&amp; Integration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80d6ff4a78c30f9617988f2483de7ae82dea3bd4.png"/><Relationship Id="rId11" Type="http://schemas.openxmlformats.org/officeDocument/2006/relationships/image" Target="media/4a94e1eb4a4cec6bbf8352ce6ca8984f37ba6fe7.png"/><Relationship Id="rId12" Type="http://schemas.openxmlformats.org/officeDocument/2006/relationships/image" Target="media/466f0f1b7a4b62cd044f51463f8eef138f95ba9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2026-06-11T05:51:10.058Z</dcterms:created>
  <dcterms:modified xsi:type="dcterms:W3CDTF">2026-06-11T05:51:10.060Z</dcterms:modified>
</cp:coreProperties>
</file>

<file path=docProps/custom.xml><?xml version="1.0" encoding="utf-8"?>
<Properties xmlns="http://schemas.openxmlformats.org/officeDocument/2006/custom-properties" xmlns:vt="http://schemas.openxmlformats.org/officeDocument/2006/docPropsVTypes"/>
</file>