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06DB6" w:val="clear"/>
          </w:tcPr>
          <w:p>
            <w:pPr>
              <w:spacing w:after="0" w:before="200"/>
            </w:pPr>
            <w:r>
              <w:t xml:space="preserve"/>
            </w:r>
          </w:p>
        </w:tc>
      </w:tr>
    </w:tbl>
    <w:p>
      <w:pPr>
        <w:spacing w:after="0" w:before="800"/>
      </w:pPr>
      <w:r>
        <w:t xml:space="preserve"/>
      </w:r>
    </w:p>
    <w:p>
      <w:pPr>
        <w:jc w:val="center"/>
      </w:pPr>
      <w:r>
        <w:drawing>
          <wp:inline distT="0" distB="0" distL="0" distR="0">
            <wp:extent cx="2476500" cy="51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514350"/>
                    </a:xfrm>
                    <a:prstGeom prst="rect">
                      <a:avLst/>
                    </a:prstGeom>
                  </pic:spPr>
                </pic:pic>
              </a:graphicData>
            </a:graphic>
          </wp:inline>
        </w:drawing>
      </w:r>
    </w:p>
    <w:p>
      <w:pPr>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0"/>
        <w:gridCol w:w="5360"/>
        <w:gridCol w:w="2000"/>
      </w:tblGrid>
      <w:tr>
        <w:tc>
          <w:tcPr>
            <w:tcBorders>
              <w:top w:val="none" w:color="FFFFFF" w:sz="0"/>
              <w:left w:val="none" w:color="FFFFFF" w:sz="0"/>
              <w:bottom w:val="none" w:color="FFFFFF" w:sz="0"/>
              <w:right w:val="none" w:color="FFFFFF" w:sz="0"/>
            </w:tcBorders>
          </w:tcPr>
          <w:p>
            <w:r>
              <w:t xml:space="preserve"/>
            </w:r>
          </w:p>
        </w:tc>
        <w:tc>
          <w:tcPr>
            <w:tcBorders>
              <w:bottom w:val="single" w:color="F67D4B" w:sz="12"/>
            </w:tcBorders>
          </w:tcPr>
          <w:p>
            <w:r>
              <w:t xml:space="preserve"/>
            </w:r>
          </w:p>
        </w:tc>
        <w:tc>
          <w:tcPr>
            <w:tcBorders>
              <w:top w:val="none" w:color="FFFFFF" w:sz="0"/>
              <w:left w:val="none" w:color="FFFFFF" w:sz="0"/>
              <w:bottom w:val="none" w:color="FFFFFF" w:sz="0"/>
              <w:right w:val="none" w:color="FFFFFF" w:sz="0"/>
            </w:tcBorders>
          </w:tcPr>
          <w:p>
            <w:r>
              <w:t xml:space="preserve"/>
            </w:r>
          </w:p>
        </w:tc>
      </w:tr>
    </w:tbl>
    <w:p>
      <w:pPr>
        <w:spacing w:after="0" w:before="300"/>
      </w:pPr>
      <w:r>
        <w:t xml:space="preserve"/>
      </w:r>
    </w:p>
    <w:p>
      <w:pPr>
        <w:spacing w:after="60"/>
        <w:jc w:val="center"/>
      </w:pPr>
      <w:r>
        <w:rPr>
          <w:rFonts w:ascii="Open Sans" w:cs="Open Sans" w:eastAsia="Open Sans" w:hAnsi="Open Sans"/>
          <w:b/>
          <w:bCs/>
          <w:color w:val="1A1A2E"/>
          <w:sz w:val="54"/>
          <w:szCs w:val="54"/>
        </w:rPr>
        <w:t xml:space="preserve">BRANDYWINE HOMES</w:t>
      </w:r>
    </w:p>
    <w:p>
      <w:pPr>
        <w:spacing w:after="80"/>
        <w:jc w:val="center"/>
      </w:pPr>
      <w:r>
        <w:rPr>
          <w:rFonts w:ascii="Open Sans" w:cs="Open Sans" w:eastAsia="Open Sans" w:hAnsi="Open Sans"/>
          <w:b w:val="false"/>
          <w:bCs w:val="false"/>
          <w:color w:val="59595B"/>
          <w:sz w:val="24"/>
          <w:szCs w:val="24"/>
        </w:rPr>
        <w:t xml:space="preserve">Urban Infill Homebuilding  —  Southern California</w:t>
      </w:r>
    </w:p>
    <w:p>
      <w:pPr>
        <w:spacing w:after="80"/>
        <w:jc w:val="center"/>
      </w:pPr>
      <w:r>
        <w:rPr>
          <w:rFonts w:ascii="Open Sans" w:cs="Open Sans" w:eastAsia="Open Sans" w:hAnsi="Open Sans"/>
          <w:b w:val="false"/>
          <w:bCs w:val="false"/>
          <w:color w:val="006DB6"/>
          <w:sz w:val="40"/>
          <w:szCs w:val="40"/>
        </w:rPr>
        <w:t xml:space="preserve">AI Growth &amp; Integration Blueprint</w:t>
      </w:r>
    </w:p>
    <w:p>
      <w:pPr>
        <w:spacing w:after="0" w:before="80"/>
      </w:pPr>
      <w:r>
        <w:t xml:space="preserve"/>
      </w:r>
    </w:p>
    <w:p>
      <w:pPr>
        <w:spacing w:after="40"/>
        <w:jc w:val="center"/>
      </w:pPr>
      <w:r>
        <w:rPr>
          <w:rFonts w:ascii="Open Sans" w:cs="Open Sans" w:eastAsia="Open Sans" w:hAnsi="Open Sans"/>
          <w:color w:val="59595B"/>
          <w:sz w:val="22"/>
          <w:szCs w:val="22"/>
        </w:rPr>
        <w:t xml:space="preserve">Prepared by Technijian  |  2026-06-03</w:t>
      </w:r>
    </w:p>
    <w:p>
      <w:pPr>
        <w:spacing w:after="40"/>
        <w:jc w:val="center"/>
      </w:pPr>
      <w:r>
        <w:rPr>
          <w:rFonts w:ascii="Open Sans" w:cs="Open Sans" w:eastAsia="Open Sans" w:hAnsi="Open Sans"/>
          <w:color w:val="59595B"/>
          <w:sz w:val="22"/>
          <w:szCs w:val="22"/>
        </w:rPr>
        <w:t xml:space="preserve">Irvine, California  |  brandywine-homes.com</w:t>
      </w:r>
    </w:p>
    <w:p>
      <w:pPr>
        <w:spacing w:after="0" w:before="6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67D4B" w:val="clear"/>
          </w:tcPr>
          <w:p>
            <w:pPr>
              <w:spacing w:after="0" w:before="160"/>
            </w:pPr>
            <w:r>
              <w:t xml:space="preserve"/>
            </w:r>
          </w:p>
        </w:tc>
      </w:tr>
    </w:tbl>
    <w:p>
      <w:pPr>
        <w:spacing w:after="0" w:before="120"/>
      </w:pPr>
      <w:r>
        <w:t xml:space="preserve"/>
      </w:r>
    </w:p>
    <w:p>
      <w:pPr>
        <w:jc w:val="center"/>
      </w:pPr>
      <w:r>
        <w:rPr>
          <w:rFonts w:ascii="Open Sans" w:cs="Open Sans" w:eastAsia="Open Sans" w:hAnsi="Open Sans"/>
          <w:i/>
          <w:iCs/>
          <w:color w:val="59595B"/>
          <w:sz w:val="18"/>
          <w:szCs w:val="18"/>
        </w:rPr>
        <w:t xml:space="preserve">CONFIDENTIAL — Prepared for Brandywine Homes</w:t>
      </w:r>
    </w:p>
    <w:p>
      <w:r>
        <w:br w:type="page"/>
      </w:r>
    </w:p>
    <w:sdt>
      <w:sdtPr>
        <w:alias w:val="Table of Contents"/>
      </w:sdtPr>
      <w:sdtContent>
        <w:p>
          <w:r>
            <w:fldChar w:fldCharType="begin" w:dirty="true"/>
            <w:instrText xml:space="preserve">TOC \h \o "1-2"</w:instrText>
            <w:fldChar w:fldCharType="separate"/>
          </w:r>
        </w:p>
        <w:p>
          <w:r>
            <w:fldChar w:fldCharType="end"/>
          </w:r>
        </w:p>
      </w:sdtContent>
    </w:sdt>
    <w:p>
      <w:pPr>
        <w:pStyle w:val="Heading1"/>
        <w:keepNext/>
        <w:pageBreakBefore/>
        <w:spacing w:after="120" w:before="0" w:line="240"/>
      </w:pPr>
      <w:r>
        <w:rPr>
          <w:rFonts w:ascii="Open Sans" w:cs="Open Sans" w:eastAsia="Open Sans" w:hAnsi="Open Sans"/>
          <w:color w:val="FFFFFF"/>
          <w:sz w:val="2"/>
          <w:szCs w:val="2"/>
        </w:rPr>
        <w:t xml:space="preserve">01  Executive Summary</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01  Executive Summary</w:t>
            </w:r>
          </w:p>
        </w:tc>
      </w:tr>
    </w:tbl>
    <w:p>
      <w:pPr>
        <w:spacing w:after="0" w:before="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006DB6"/>
                <w:sz w:val="44"/>
                <w:szCs w:val="44"/>
              </w:rPr>
              <w:t xml:space="preserve">1994</w:t>
            </w:r>
          </w:p>
          <w:p>
            <w:pPr>
              <w:spacing w:after="0"/>
              <w:jc w:val="center"/>
            </w:pPr>
            <w:r>
              <w:rPr>
                <w:rFonts w:ascii="Open Sans" w:cs="Open Sans" w:eastAsia="Open Sans" w:hAnsi="Open Sans"/>
                <w:color w:val="59595B"/>
                <w:sz w:val="17"/>
                <w:szCs w:val="17"/>
              </w:rPr>
              <w:t xml:space="preserve">Family-Owned Since</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F67D4B"/>
                <w:sz w:val="44"/>
                <w:szCs w:val="44"/>
              </w:rPr>
              <w:t xml:space="preserve">60+</w:t>
            </w:r>
          </w:p>
          <w:p>
            <w:pPr>
              <w:spacing w:after="0"/>
              <w:jc w:val="center"/>
            </w:pPr>
            <w:r>
              <w:rPr>
                <w:rFonts w:ascii="Open Sans" w:cs="Open Sans" w:eastAsia="Open Sans" w:hAnsi="Open Sans"/>
                <w:color w:val="59595B"/>
                <w:sz w:val="17"/>
                <w:szCs w:val="17"/>
              </w:rPr>
              <w:t xml:space="preserve">Infill Communities Built</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1EAAC8"/>
                <w:sz w:val="44"/>
                <w:szCs w:val="44"/>
              </w:rPr>
              <w:t xml:space="preserve">$1.2B</w:t>
            </w:r>
          </w:p>
          <w:p>
            <w:pPr>
              <w:spacing w:after="0"/>
              <w:jc w:val="center"/>
            </w:pPr>
            <w:r>
              <w:rPr>
                <w:rFonts w:ascii="Open Sans" w:cs="Open Sans" w:eastAsia="Open Sans" w:hAnsi="Open Sans"/>
                <w:color w:val="59595B"/>
                <w:sz w:val="17"/>
                <w:szCs w:val="17"/>
              </w:rPr>
              <w:t xml:space="preserve">Cumulative Revenue</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1A1A2E"/>
                <w:sz w:val="44"/>
                <w:szCs w:val="44"/>
              </w:rPr>
              <w:t xml:space="preserve">~2,000</w:t>
            </w:r>
          </w:p>
          <w:p>
            <w:pPr>
              <w:spacing w:after="0"/>
              <w:jc w:val="center"/>
            </w:pPr>
            <w:r>
              <w:rPr>
                <w:rFonts w:ascii="Open Sans" w:cs="Open Sans" w:eastAsia="Open Sans" w:hAnsi="Open Sans"/>
                <w:color w:val="59595B"/>
                <w:sz w:val="17"/>
                <w:szCs w:val="17"/>
              </w:rPr>
              <w:t xml:space="preserve">Homes Delivered</w:t>
            </w:r>
          </w:p>
        </w:tc>
      </w:tr>
    </w:tbl>
    <w:p>
      <w:pPr>
        <w:spacing w:after="0" w:before="3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Brandywine Homes has spent more than thirty years doing the hardest thing in California real estate: turning underused infill land — an abandoned church, a tired motel, a failed strip center — into homes, working side by side with cities through public-private partnerships. Sixty-plus communities, roughly two thousand homes, and $1.2 billion in revenue is a record very few infill builders can claim. This blueprint, prepared by Technijian as a fellow Irvine company, lays out how AI strengthens that exact model — without changing what already works.</w:t>
      </w:r>
    </w:p>
    <w:p>
      <w:pPr>
        <w:spacing w:after="140" w:before="0" w:line="320"/>
        <w:jc w:val="both"/>
      </w:pPr>
      <w:r>
        <w:rPr>
          <w:rFonts w:ascii="Open Sans" w:cs="Open Sans" w:eastAsia="Open Sans" w:hAnsi="Open Sans"/>
          <w:b w:val="false"/>
          <w:bCs w:val="false"/>
          <w:i w:val="false"/>
          <w:iCs w:val="false"/>
          <w:color w:val="59595B"/>
          <w:sz w:val="22"/>
          <w:szCs w:val="22"/>
        </w:rPr>
        <w:t xml:space="preserve">The starting point is honest: for an infill builder, growth is not gated by selling homes. Well-located infill homes sell. Growth is gated on the supply side — finding and entitling scarce, complicated land faster than the next builder. That is where the national giants are now spending their AI budgets. D.R. Horton runs Prophetic, an AI land platform that lets one analyst evaluate 5,700 parcels a month instead of a couple hundred. Lennar runs an AI sales agent that handles the 30% of buyer inquiries arriving overnight. Those tools are built for large-tract production. In the Southern California infill niche where Brandywine competes, AI adoption is effectively zero.</w:t>
      </w:r>
    </w:p>
    <w:p>
      <w:pPr>
        <w:spacing w:after="140" w:before="0" w:line="320"/>
        <w:jc w:val="both"/>
      </w:pPr>
      <w:r>
        <w:rPr>
          <w:rFonts w:ascii="Open Sans" w:cs="Open Sans" w:eastAsia="Open Sans" w:hAnsi="Open Sans"/>
          <w:b w:val="false"/>
          <w:bCs w:val="false"/>
          <w:i w:val="false"/>
          <w:iCs w:val="false"/>
          <w:color w:val="59595B"/>
          <w:sz w:val="22"/>
          <w:szCs w:val="22"/>
        </w:rPr>
        <w:t xml:space="preserve">That gap is the opportunity. This is a focused program with three motions that map exactly to how Brandywine grows: source (find and qualify more infill land, faster, with AI parcel and feasibility intelligence), entitle and build (compress entitlement timelines and run constrained sites leaner with document automation and construction-ops AI), and sell and partner (absorb homes faster with a 24/7 buyer assistant, and make the relationships with cities, landowners, and capital partners more findable and better-armed). AI does the surfacing, drafting, and answering; the team still negotiates the deal and wins the council vote.</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Core Opportunity</w:t>
            </w:r>
          </w:p>
          <w:p>
            <w:pPr>
              <w:keepNext/>
              <w:keepLines/>
              <w:spacing w:after="60" w:before="40" w:line="300"/>
            </w:pPr>
            <w:r>
              <w:rPr>
                <w:rFonts w:ascii="Open Sans" w:cs="Open Sans" w:eastAsia="Open Sans" w:hAnsi="Open Sans"/>
                <w:color w:val="59595B"/>
                <w:sz w:val="20"/>
                <w:szCs w:val="20"/>
              </w:rPr>
              <w:t xml:space="preserve">A once-in-a-generation policy window: the 2025 CEQA reform (AB 130 / SB 131) created a statutory exemption for infill housing and, per the Urban Land Institute, cuts the entitlement timeline by an estimated 12 to 18 months. The builder who can screen and qualify parcels for these by-right pathways fastest wins the land.</w:t>
            </w:r>
          </w:p>
          <w:p>
            <w:pPr>
              <w:keepNext/>
              <w:keepLines/>
              <w:spacing w:after="60" w:before="40" w:line="300"/>
            </w:pPr>
            <w:r>
              <w:rPr>
                <w:rFonts w:ascii="Open Sans" w:cs="Open Sans" w:eastAsia="Open Sans" w:hAnsi="Open Sans"/>
                <w:color w:val="59595B"/>
                <w:sz w:val="20"/>
                <w:szCs w:val="20"/>
              </w:rPr>
              <w:t xml:space="preserve">A wide-open competitive lane: no Southern California infill builder — not Olson, City Ventures, Melia, Trumark, or Warmington — has deployed AI in land sourcing, entitlements, construction, or buyer absorption. Being first is a durable advantage, not a catch-up move.</w:t>
            </w:r>
          </w:p>
          <w:p>
            <w:pPr>
              <w:keepNext w:val="false"/>
              <w:keepLines/>
              <w:spacing w:after="60" w:before="40" w:line="300"/>
            </w:pPr>
            <w:r>
              <w:rPr>
                <w:rFonts w:ascii="Open Sans" w:cs="Open Sans" w:eastAsia="Open Sans" w:hAnsi="Open Sans"/>
                <w:color w:val="59595B"/>
                <w:sz w:val="20"/>
                <w:szCs w:val="20"/>
              </w:rPr>
              <w:t xml:space="preserve">A program priced to start small: a roughly $37K entry program (an executive workshop, AI land and account intelligence, and answer-engine search) pays for itself on the land and absorption levers alone, with the larger custom build held for after the entry proves the lift.</w:t>
            </w:r>
          </w:p>
        </w:tc>
      </w:tr>
    </w:tbl>
    <w:p>
      <w:pPr>
        <w:spacing w:after="140" w:before="60" w:line="320"/>
        <w:jc w:val="both"/>
      </w:pPr>
      <w:r>
        <w:rPr>
          <w:rFonts w:ascii="Open Sans" w:cs="Open Sans" w:eastAsia="Open Sans" w:hAnsi="Open Sans"/>
          <w:b w:val="false"/>
          <w:bCs w:val="false"/>
          <w:i/>
          <w:iCs/>
          <w:color w:val="59595B"/>
          <w:sz w:val="20"/>
          <w:szCs w:val="20"/>
        </w:rPr>
        <w:t xml:space="preserve">A note on figures: Brandywine’s internal numbers — deal volume, entitlement timelines, absorption pace, and capital structure — were not available for this draft. Every projection below is labeled estimated and conservative, and calibrates to real numbers after a short discovery call. The specific questions are in Section 15.</w:t>
      </w:r>
    </w:p>
    <w:p>
      <w:pPr>
        <w:pStyle w:val="Heading1"/>
        <w:keepNext/>
        <w:pageBreakBefore/>
        <w:spacing w:after="120" w:before="0" w:line="240"/>
      </w:pPr>
      <w:r>
        <w:rPr>
          <w:rFonts w:ascii="Open Sans" w:cs="Open Sans" w:eastAsia="Open Sans" w:hAnsi="Open Sans"/>
          <w:color w:val="FFFFFF"/>
          <w:sz w:val="2"/>
          <w:szCs w:val="2"/>
        </w:rPr>
        <w:t xml:space="preserve">02  The Infill Growth Model</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02  The Infill Growth Model</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A growth plan has to start with how Brandywine actually makes money, because it is not a retail funnel — it is a deal pipeline. Land comes in on the supply side, runs through four stages, and comes out as a finished community. Three outside parties feed every deal: the landowner who holds an underused parcel, the city that controls entitlements through a public-private partnership, and the capital partners and lenders who fund construction. The center of gravity is the front of the pipeline: source and entitle. Win there, and the rest follows.</w:t>
      </w:r>
    </w:p>
    <w:p>
      <w:pPr>
        <w:spacing w:after="0" w:before="160"/>
      </w:pPr>
      <w:r>
        <w:t xml:space="preserve"/>
      </w:r>
    </w:p>
    <w:p>
      <w:pPr>
        <w:spacing w:after="80" w:before="120"/>
        <w:jc w:val="center"/>
      </w:pPr>
      <w:r>
        <w:drawing>
          <wp:inline distT="0" distB="0" distL="0" distR="0">
            <wp:extent cx="5715000" cy="3419475"/>
            <wp:effectExtent t="0" r="0" b="0" l="0"/>
            <wp:docPr id="1" name="How Brandywine Grows: an Infill Deal Pipeline" descr="How Brandywine Grows: an Infill Deal Pipeline" title="How Brandywine Grows: an Infill Deal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1947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2.0 — Brandywine’s growth is gated on the supply side: sourcing and entitling scarce infill land, not selling the homes</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Four Stages, One Pipeline</w:t>
      </w:r>
    </w:p>
    <w:p>
      <w:pPr>
        <w:pStyle w:val="ListParagraph"/>
        <w:numPr>
          <w:ilvl w:val="0"/>
          <w:numId w:val="2"/>
        </w:numPr>
        <w:spacing w:after="80" w:before="40" w:line="300"/>
      </w:pPr>
      <w:r>
        <w:rPr>
          <w:rFonts w:ascii="Open Sans" w:cs="Open Sans" w:eastAsia="Open Sans" w:hAnsi="Open Sans"/>
          <w:color w:val="59595B"/>
          <w:sz w:val="22"/>
          <w:szCs w:val="22"/>
        </w:rPr>
        <w:t xml:space="preserve">Source: find and assemble underused infill parcels — churches, motels, failed retail, strip malls, warehouses — across Orange County, LA County, and the Inland Empire. Gated by deal flow and land scarcity.</w:t>
      </w:r>
    </w:p>
    <w:p>
      <w:pPr>
        <w:pStyle w:val="ListParagraph"/>
        <w:numPr>
          <w:ilvl w:val="0"/>
          <w:numId w:val="2"/>
        </w:numPr>
        <w:spacing w:after="80" w:before="40" w:line="300"/>
      </w:pPr>
      <w:r>
        <w:rPr>
          <w:rFonts w:ascii="Open Sans" w:cs="Open Sans" w:eastAsia="Open Sans" w:hAnsi="Open Sans"/>
          <w:color w:val="59595B"/>
          <w:sz w:val="22"/>
          <w:szCs w:val="22"/>
        </w:rPr>
        <w:t xml:space="preserve">Entitle: navigate city planning, CEQA, zoning, and by-right pathways, and structure the public-private partnership. Gated by entitlement time and risk — the single longest, costliest part of the cycle.</w:t>
      </w:r>
    </w:p>
    <w:p>
      <w:pPr>
        <w:pStyle w:val="ListParagraph"/>
        <w:numPr>
          <w:ilvl w:val="0"/>
          <w:numId w:val="2"/>
        </w:numPr>
        <w:spacing w:after="80" w:before="40" w:line="300"/>
      </w:pPr>
      <w:r>
        <w:rPr>
          <w:rFonts w:ascii="Open Sans" w:cs="Open Sans" w:eastAsia="Open Sans" w:hAnsi="Open Sans"/>
          <w:color w:val="59595B"/>
          <w:sz w:val="22"/>
          <w:szCs w:val="22"/>
        </w:rPr>
        <w:t xml:space="preserve">Build: develop a small, constrained infill site with a lean team running several communities at once. Gated by cost and schedule discipline.</w:t>
      </w:r>
    </w:p>
    <w:p>
      <w:pPr>
        <w:pStyle w:val="ListParagraph"/>
        <w:numPr>
          <w:ilvl w:val="0"/>
          <w:numId w:val="2"/>
        </w:numPr>
        <w:spacing w:after="80" w:before="40" w:line="300"/>
      </w:pPr>
      <w:r>
        <w:rPr>
          <w:rFonts w:ascii="Open Sans" w:cs="Open Sans" w:eastAsia="Open Sans" w:hAnsi="Open Sans"/>
          <w:color w:val="59595B"/>
          <w:sz w:val="22"/>
          <w:szCs w:val="22"/>
        </w:rPr>
        <w:t xml:space="preserve">Sell: absorb attainable townhomes and move-up detached homes in a slow, incentive-heavy market. Gated by absorption pace.</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Why the Model Rewards AI</w:t>
            </w:r>
          </w:p>
          <w:p>
            <w:pPr>
              <w:keepNext/>
              <w:keepLines/>
              <w:spacing w:after="60" w:before="40" w:line="300"/>
            </w:pPr>
            <w:r>
              <w:rPr>
                <w:rFonts w:ascii="Open Sans" w:cs="Open Sans" w:eastAsia="Open Sans" w:hAnsi="Open Sans"/>
                <w:color w:val="59595B"/>
                <w:sz w:val="20"/>
                <w:szCs w:val="20"/>
              </w:rPr>
              <w:t xml:space="preserve">The supply side is a search-and-judgment problem at scale — exactly what AI does well. Scanning thousands of parcels, classifying their by-right path, and estimating yield is work a lean team cannot do by hand but an AI does in minutes.</w:t>
            </w:r>
          </w:p>
          <w:p>
            <w:pPr>
              <w:keepNext/>
              <w:keepLines/>
              <w:spacing w:after="60" w:before="40" w:line="300"/>
            </w:pPr>
            <w:r>
              <w:rPr>
                <w:rFonts w:ascii="Open Sans" w:cs="Open Sans" w:eastAsia="Open Sans" w:hAnsi="Open Sans"/>
                <w:color w:val="59595B"/>
                <w:sz w:val="20"/>
                <w:szCs w:val="20"/>
              </w:rPr>
              <w:t xml:space="preserve">The entitlement stage is paperwork-heavy and time-sensitive — CEQA filings, staff reports, community-meeting materials — and the 2025 reform rewards whoever moves fastest through the new exemptions.</w:t>
            </w:r>
          </w:p>
          <w:p>
            <w:pPr>
              <w:keepNext w:val="false"/>
              <w:keepLines/>
              <w:spacing w:after="60" w:before="40" w:line="300"/>
            </w:pPr>
            <w:r>
              <w:rPr>
                <w:rFonts w:ascii="Open Sans" w:cs="Open Sans" w:eastAsia="Open Sans" w:hAnsi="Open Sans"/>
                <w:color w:val="59595B"/>
                <w:sz w:val="20"/>
                <w:szCs w:val="20"/>
              </w:rPr>
              <w:t xml:space="preserve">And absorption in a soft market is won on speed-to-buyer: the inquiry answered at 2 a.m. and the tour booked before a competitor responds.</w:t>
            </w:r>
          </w:p>
        </w:tc>
      </w:tr>
    </w:tbl>
    <w:p>
      <w:pPr>
        <w:pStyle w:val="Heading1"/>
        <w:keepNext/>
        <w:pageBreakBefore/>
        <w:spacing w:after="120" w:before="0" w:line="240"/>
      </w:pPr>
      <w:r>
        <w:rPr>
          <w:rFonts w:ascii="Open Sans" w:cs="Open Sans" w:eastAsia="Open Sans" w:hAnsi="Open Sans"/>
          <w:color w:val="FFFFFF"/>
          <w:sz w:val="2"/>
          <w:szCs w:val="2"/>
        </w:rPr>
        <w:t xml:space="preserve">03  The Growth Equation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03  The Growth Equation</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Brandywine grows three ways, and each is gated by something AI can move. This is the spine the rest of the plan hangs on.</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3744"/>
        <w:gridCol w:w="3370"/>
      </w:tblGrid>
      <w:tr>
        <w:trPr>
          <w:cantSplit/>
          <w:tblHeader/>
        </w:trPr>
        <w:tc>
          <w:tcPr>
            <w:tcW w:type="dxa" w:w="224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Growth Lever</w:t>
            </w:r>
          </w:p>
        </w:tc>
        <w:tc>
          <w:tcPr>
            <w:tcW w:type="dxa" w:w="374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Gates It Today</w:t>
            </w:r>
          </w:p>
        </w:tc>
        <w:tc>
          <w:tcPr>
            <w:tcW w:type="dxa" w:w="337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The AI Play</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Source more land</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Infill parcels are scarce and found largely by hand and relationship; a lean team can only chase so many at once</w:t>
            </w:r>
          </w:p>
        </w:tc>
        <w:tc>
          <w:tcPr>
            <w:tcW w:type="dxa" w:w="337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land and feasibility intelligence — scan and score thousands of parcels, surface off-market sites, classify the by-right path</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Entitle and build faster</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Discretionary CEQA and manual filings stretch entitlements 12-18 months; constrained sites punish cost and schedule slips</w:t>
            </w:r>
          </w:p>
        </w:tc>
        <w:tc>
          <w:tcPr>
            <w:tcW w:type="dxa" w:w="337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Entitlement document automation, approval-timeline modeling, and construction-ops AI across concurrent communities</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Absorb and partner</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Homes sit longer in a soft market; overnight inquiries go unanswered; the B2B partner story is hard to find online</w:t>
            </w:r>
          </w:p>
        </w:tc>
        <w:tc>
          <w:tcPr>
            <w:tcW w:type="dxa" w:w="337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24/7 buyer assistant, answer-engine search, and a findable landowner / city / capital presence</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Why Brandywine Is Positioned to Win This</w:t>
            </w:r>
          </w:p>
          <w:p>
            <w:pPr>
              <w:keepNext/>
              <w:keepLines/>
              <w:spacing w:after="60" w:before="40" w:line="300"/>
            </w:pPr>
            <w:r>
              <w:rPr>
                <w:rFonts w:ascii="Open Sans" w:cs="Open Sans" w:eastAsia="Open Sans" w:hAnsi="Open Sans"/>
                <w:color w:val="59595B"/>
                <w:sz w:val="20"/>
                <w:szCs w:val="20"/>
              </w:rPr>
              <w:t xml:space="preserve">The hard assets are already there: 32 years of entitlement know-how, a network of city and capital relationships, and a proven adaptive-reuse model. AI makes that judgment scale across more deals — it does not replace it.</w:t>
            </w:r>
          </w:p>
          <w:p>
            <w:pPr>
              <w:keepNext/>
              <w:keepLines/>
              <w:spacing w:after="60" w:before="40" w:line="300"/>
            </w:pPr>
            <w:r>
              <w:rPr>
                <w:rFonts w:ascii="Open Sans" w:cs="Open Sans" w:eastAsia="Open Sans" w:hAnsi="Open Sans"/>
                <w:color w:val="59595B"/>
                <w:sz w:val="20"/>
                <w:szCs w:val="20"/>
              </w:rPr>
              <w:t xml:space="preserve">The timing is rare: the 2025 CEQA reform rewards the fastest mover on by-right infill, and that speed is exactly what an AI screening-and-drafting layer provides.</w:t>
            </w:r>
          </w:p>
          <w:p>
            <w:pPr>
              <w:keepNext w:val="false"/>
              <w:keepLines/>
              <w:spacing w:after="60" w:before="40" w:line="300"/>
            </w:pPr>
            <w:r>
              <w:rPr>
                <w:rFonts w:ascii="Open Sans" w:cs="Open Sans" w:eastAsia="Open Sans" w:hAnsi="Open Sans"/>
                <w:color w:val="59595B"/>
                <w:sz w:val="20"/>
                <w:szCs w:val="20"/>
              </w:rPr>
              <w:t xml:space="preserve">The lane is empty: no Southern California infill competitor has any of this, so the advantage is first-mover, not catch-up.</w:t>
            </w:r>
          </w:p>
        </w:tc>
      </w:tr>
    </w:tbl>
    <w:p>
      <w:pPr>
        <w:pStyle w:val="Heading1"/>
        <w:keepNext/>
        <w:pageBreakBefore/>
        <w:spacing w:after="120" w:before="0" w:line="240"/>
      </w:pPr>
      <w:r>
        <w:rPr>
          <w:rFonts w:ascii="Open Sans" w:cs="Open Sans" w:eastAsia="Open Sans" w:hAnsi="Open Sans"/>
          <w:color w:val="FFFFFF"/>
          <w:sz w:val="2"/>
          <w:szCs w:val="2"/>
        </w:rPr>
        <w:t xml:space="preserve">04  The Market &amp; Where It’s Going</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04  The Market &amp; Where It’s Going</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Three forces shape the plan: California cannot build enough housing, the 2025 CEQA reform just rewrote the entitlement clock in infill builders’ favor, and the AI race in homebuilding is being run by national giants aimed at large tracts — leaving the infill niche wide open.</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Market Forces (2024–2026)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3744"/>
        <w:gridCol w:w="3183"/>
      </w:tblGrid>
      <w:tr>
        <w:trPr>
          <w:cantSplit/>
          <w:tblHeader/>
        </w:trPr>
        <w:tc>
          <w:tcPr>
            <w:tcW w:type="dxa" w:w="243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Force</w:t>
            </w:r>
          </w:p>
        </w:tc>
        <w:tc>
          <w:tcPr>
            <w:tcW w:type="dxa" w:w="374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What’s Happening</w:t>
            </w:r>
          </w:p>
        </w:tc>
        <w:tc>
          <w:tcPr>
            <w:tcW w:type="dxa" w:w="318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Implication for Brandywine</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Chronic undersupply</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California is short ~3 million homes, yet H1 2025 permits fell to ~49,400 — the lowest since 2014</w:t>
            </w:r>
          </w:p>
        </w:tc>
        <w:tc>
          <w:tcPr>
            <w:tcW w:type="dxa" w:w="318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Demand for well-located infill homes is structural; the constraint is land and approvals, not buyers</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CEQA reform window</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AB 130 / SB 131 (June 2025) created a statutory CEQA exemption for infill housing up to 20 acres; ULI estimates a 12-18 month timeline cut</w:t>
            </w:r>
          </w:p>
        </w:tc>
        <w:tc>
          <w:tcPr>
            <w:tcW w:type="dxa" w:w="318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rare advantage for whoever screens and qualifies parcels for by-right paths fastest — an AI problem</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By-right toolbox</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SB 9, SB 35 / SB 423, AB 2011 (housing on commercial land), and Density Bonus law stack to boost yield and speed</w:t>
            </w:r>
          </w:p>
        </w:tc>
        <w:tc>
          <w:tcPr>
            <w:tcW w:type="dxa" w:w="318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Fluency in stacking these pathways, parcel by parcel, is a durable edge</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Soft for-sale market</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New-home sales per community are down ~15% YoY; unsold inventory is up ~18%; incentives average ~7.5% of base price</w:t>
            </w:r>
          </w:p>
        </w:tc>
        <w:tc>
          <w:tcPr>
            <w:tcW w:type="dxa" w:w="318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Absorption speed and marketing efficiency directly protect margin</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Buyers shop online first</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&gt;70% of buyers use multiple platforms before contact; new-home search runs through AI assistants and listing portals</w:t>
            </w:r>
          </w:p>
        </w:tc>
        <w:tc>
          <w:tcPr>
            <w:tcW w:type="dxa" w:w="318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24/7 assistant and answer-engine visibility convert demand a soft market makes scarce</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The AI Race in Homebuilding</w:t>
      </w:r>
    </w:p>
    <w:p>
      <w:pPr>
        <w:spacing w:after="140" w:before="0" w:line="320"/>
        <w:jc w:val="both"/>
      </w:pPr>
      <w:r>
        <w:rPr>
          <w:rFonts w:ascii="Open Sans" w:cs="Open Sans" w:eastAsia="Open Sans" w:hAnsi="Open Sans"/>
          <w:b w:val="false"/>
          <w:bCs w:val="false"/>
          <w:i w:val="false"/>
          <w:iCs w:val="false"/>
          <w:color w:val="59595B"/>
          <w:sz w:val="22"/>
          <w:szCs w:val="22"/>
        </w:rPr>
        <w:t xml:space="preserve">The largest builders are arming both ends of the pipeline. On land, D.R. Horton and Century Communities run Prophetic, an AI platform that generates zoning-compliant site plans and yield estimates in minutes and lets one analyst evaluate 5,700 parcels a month. On sales, Lennar’s AI agent handles the roughly 30% of inquiries that arrive overnight and is on pace to book about 12,000 appointments a year. These tools are built for large-tract production — none is tuned for the parcel-by-parcel, assemblage-heavy, entitlement-hard reality of Southern California infill. That is the white space.</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The Market’s Verdict</w:t>
            </w:r>
          </w:p>
          <w:p>
            <w:pPr>
              <w:keepNext/>
              <w:keepLines/>
              <w:spacing w:after="60" w:before="40" w:line="300"/>
            </w:pPr>
            <w:r>
              <w:rPr>
                <w:rFonts w:ascii="Open Sans" w:cs="Open Sans" w:eastAsia="Open Sans" w:hAnsi="Open Sans"/>
                <w:color w:val="59595B"/>
                <w:sz w:val="20"/>
                <w:szCs w:val="20"/>
              </w:rPr>
              <w:t xml:space="preserve">The scarcity and the policy window both reward the same thing: speed and reach on the supply side — sourcing and entitling more infill land than a hand-run process can.</w:t>
            </w:r>
          </w:p>
          <w:p>
            <w:pPr>
              <w:keepNext/>
              <w:keepLines/>
              <w:spacing w:after="60" w:before="40" w:line="300"/>
            </w:pPr>
            <w:r>
              <w:rPr>
                <w:rFonts w:ascii="Open Sans" w:cs="Open Sans" w:eastAsia="Open Sans" w:hAnsi="Open Sans"/>
                <w:color w:val="59595B"/>
                <w:sz w:val="20"/>
                <w:szCs w:val="20"/>
              </w:rPr>
              <w:t xml:space="preserve">The soft sales market rewards absorption speed and marketing efficiency — answering and converting the demand that does exist.</w:t>
            </w:r>
          </w:p>
          <w:p>
            <w:pPr>
              <w:keepNext w:val="false"/>
              <w:keepLines/>
              <w:spacing w:after="60" w:before="40" w:line="300"/>
            </w:pPr>
            <w:r>
              <w:rPr>
                <w:rFonts w:ascii="Open Sans" w:cs="Open Sans" w:eastAsia="Open Sans" w:hAnsi="Open Sans"/>
                <w:color w:val="59595B"/>
                <w:sz w:val="20"/>
                <w:szCs w:val="20"/>
              </w:rPr>
              <w:t xml:space="preserve">And the AI race rewards the first infill builder to act, because the national tools are pointed elsewhere and no regional infill competitor has moved.</w:t>
            </w:r>
          </w:p>
        </w:tc>
      </w:tr>
    </w:tbl>
    <w:p>
      <w:pPr>
        <w:pStyle w:val="Heading1"/>
        <w:keepNext/>
        <w:pageBreakBefore/>
        <w:spacing w:after="120" w:before="0" w:line="240"/>
      </w:pPr>
      <w:r>
        <w:rPr>
          <w:rFonts w:ascii="Open Sans" w:cs="Open Sans" w:eastAsia="Open Sans" w:hAnsi="Open Sans"/>
          <w:color w:val="FFFFFF"/>
          <w:sz w:val="2"/>
          <w:szCs w:val="2"/>
        </w:rPr>
        <w:t xml:space="preserve">05  Where the Growth Lives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05  Where the Growth Lives</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next dollar of growth comes from a few clear pools. The supply-side pools are won account by account — landowners, cities, and capital partners. The buyer pools are won on absorption speed. The program serves all of them.</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120"/>
        <w:gridCol w:w="3900"/>
      </w:tblGrid>
      <w:tr>
        <w:trPr>
          <w:cantSplit/>
          <w:tblHeader/>
        </w:trPr>
        <w:tc>
          <w:tcPr>
            <w:tcW w:type="dxa" w:w="23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Growth Pool</w:t>
            </w:r>
          </w:p>
        </w:tc>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Who / What</w:t>
            </w:r>
          </w:p>
        </w:tc>
        <w:tc>
          <w:tcPr>
            <w:tcW w:type="dxa" w:w="390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How Brandywine Captures It</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Off-market infill land</w:t>
            </w:r>
          </w:p>
        </w:tc>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Owners of churches, motels, failed retail, strip malls, and warehouses ripe for redevelopment</w:t>
            </w:r>
          </w:p>
        </w:tc>
        <w:tc>
          <w:tcPr>
            <w:tcW w:type="dxa" w:w="39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parcel monitoring + feasibility scoring + a findable landowner-facing presence</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Public-private partnerships</w:t>
            </w:r>
          </w:p>
        </w:tc>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Cities seeking revitalization of underused, transitional sites</w:t>
            </w:r>
          </w:p>
        </w:tc>
        <w:tc>
          <w:tcPr>
            <w:tcW w:type="dxa" w:w="39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documented PPP track record made searchable, plus faster, cleaner entitlement filings</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By-right pathway sites</w:t>
            </w:r>
          </w:p>
        </w:tc>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Parcels that qualify under SB 9, SB 35 / SB 423, AB 2011, or the AB 130 exemption</w:t>
            </w:r>
          </w:p>
        </w:tc>
        <w:tc>
          <w:tcPr>
            <w:tcW w:type="dxa" w:w="39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Automated eligibility classification and yield estimates that surface deals competitors miss</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Attainable + move-up buyers</w:t>
            </w:r>
          </w:p>
        </w:tc>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Townhome and detached buyers across OC, LA County, and the Inland Empire</w:t>
            </w:r>
          </w:p>
        </w:tc>
        <w:tc>
          <w:tcPr>
            <w:tcW w:type="dxa" w:w="39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24/7 buyer assistant and answer-engine visibility that speed absorption in a soft market</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Capital + BTR partners</w:t>
            </w:r>
          </w:p>
        </w:tc>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Equity partners, construction lenders, and build-to-rent investors funding the pipeline</w:t>
            </w:r>
          </w:p>
        </w:tc>
        <w:tc>
          <w:tcPr>
            <w:tcW w:type="dxa" w:w="39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Investor-ready deal packets and partner targeting that keep the funding pipeline full</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Two Sides, One Program</w:t>
            </w:r>
          </w:p>
          <w:p>
            <w:pPr>
              <w:keepNext/>
              <w:keepLines/>
              <w:spacing w:after="60" w:before="40" w:line="300"/>
            </w:pPr>
            <w:r>
              <w:rPr>
                <w:rFonts w:ascii="Open Sans" w:cs="Open Sans" w:eastAsia="Open Sans" w:hAnsi="Open Sans"/>
                <w:color w:val="59595B"/>
                <w:sz w:val="20"/>
                <w:szCs w:val="20"/>
              </w:rPr>
              <w:t xml:space="preserve">The supply-side pools are won by relationship and timing — AI surfaces the parcel and arms the team, but the deal is still negotiated by people who have done it for thirty years.</w:t>
            </w:r>
          </w:p>
          <w:p>
            <w:pPr>
              <w:keepNext/>
              <w:keepLines/>
              <w:spacing w:after="60" w:before="40" w:line="300"/>
            </w:pPr>
            <w:r>
              <w:rPr>
                <w:rFonts w:ascii="Open Sans" w:cs="Open Sans" w:eastAsia="Open Sans" w:hAnsi="Open Sans"/>
                <w:color w:val="59595B"/>
                <w:sz w:val="20"/>
                <w:szCs w:val="20"/>
              </w:rPr>
              <w:t xml:space="preserve">The buyer pools are demand that already exists in a short market — the job is to answer and convert it faster than the homes can sit.</w:t>
            </w:r>
          </w:p>
          <w:p>
            <w:pPr>
              <w:keepNext w:val="false"/>
              <w:keepLines/>
              <w:spacing w:after="60" w:before="40" w:line="300"/>
            </w:pPr>
            <w:r>
              <w:rPr>
                <w:rFonts w:ascii="Open Sans" w:cs="Open Sans" w:eastAsia="Open Sans" w:hAnsi="Open Sans"/>
                <w:color w:val="59595B"/>
                <w:sz w:val="20"/>
                <w:szCs w:val="20"/>
              </w:rPr>
              <w:t xml:space="preserve">The two reinforce each other: a stronger, more findable public and partner presence makes Brandywine a more credible partner to cities and capital, which feeds the supply side.</w:t>
            </w:r>
          </w:p>
        </w:tc>
      </w:tr>
    </w:tbl>
    <w:p>
      <w:pPr>
        <w:pStyle w:val="Heading1"/>
        <w:keepNext/>
        <w:pageBreakBefore/>
        <w:spacing w:after="120" w:before="0" w:line="240"/>
      </w:pPr>
      <w:r>
        <w:rPr>
          <w:rFonts w:ascii="Open Sans" w:cs="Open Sans" w:eastAsia="Open Sans" w:hAnsi="Open Sans"/>
          <w:color w:val="FFFFFF"/>
          <w:sz w:val="2"/>
          <w:szCs w:val="2"/>
        </w:rPr>
        <w:t xml:space="preserve">06  The Brandywine Stakeholders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06  The Brandywine Stakeholders</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Brandywine’s growth runs through more relationships than just homebuyers. The cards below profile the people who actually gate and fund the pipeline, plus the buyers who absorb the homes. The matrix that follows places each by deal value and by how much landing the relationship drives growth.</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Supply-Side Gatekeepers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006DB6"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1 — The City / Public-Private Partner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Planning staff, a city manager, and a council seeking to revitalize an underused or transitional site — the entitlement gatekeeper and the partner in a PPP (the Baldwin Park model).</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Slow, contested approvals; community pushback; uncertainty about whether a builder will actually deliver a quality project.</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credible, proven partner who makes the city look good, moves cleanly through process, and delivers what was promised.</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Faster, cleaner entitlement filings and community-meeting materials; a searchable PPP track record that makes Brandywine the obvious partner.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AI — entitlement document intelligence. My SEO — a findable PPP and redevelopment story.</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F67D4B"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2 — The Land Seller / Off-Market Owner &amp; Broker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The owner of an underused infill parcel, or the broker who controls it — the front of the pipeline.</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Hard to identify and reach before a competitor does; uncertainty about what a complicated site can actually yield.</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builder who can move fast with a credible offer and a clear plan for a hard parcel.</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AI parcel monitoring and owner targeting surface and prioritize off-market sites; instant yield and feasibility estimates let Brandywine move first.</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AI Lead Gen — land and owner intelligence. My Dev — the feasibility tool.</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28A745"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3 — The Capital &amp; Equity Partner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Equity partners and construction lenders who fund each deal — the layer that lets a lean builder run several communities at once.</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Wants speed, certainty, and clear underwriting; dislikes surprises on cost, schedule, or entitlement risk.</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Confidence in the deal: clean feasibility, a realistic timeline, and a partner who delivers returns.</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AI-pressure-tested feasibility and investor-ready deal packets shorten the path to a funded deal and deepen partner trust.</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AI — feasibility underwriting review. My Dev — investor deal-packet automation.</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The Buyers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C9922A"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4 — The Attainable Townhome Buyer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first-time or value-focused buyer of an attainable townhome (roughly $480K-$800K) — the volume base of the for-sale business.</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Affordability anxiety; wants quick answers on price, availability, and incentives, often after hours.</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clear, fast, low-friction buying experience and confidence in the builder.</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 24/7 buyer assistant answers questions and books tours the moment interest strikes; answer-engine search puts Brandywine in the buyer’s shortlist.</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Dev — the buyer assistant. My SEO — community and answer-engine search.</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1EAAC8"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5 — The Move-Up / Detached Buyer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higher-value buyer of a detached home (roughly $900K-$1M+) in a lower-density infill community.</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Wants to compare options confidently and understand the neighborhood and finish quality before committing.</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Trust, neighborhood fit, and a smooth, well-informed buying process.</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Richer, AI-readable community content and a responsive assistant shorten the consideration cycle and improve absorption.</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SEO — community content and visibility. My Dev — the buyer assistant.</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Emerging Segment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7B2D8B"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6 — The BTR / Multifamily Investor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build-to-rent or multifamily investor for Brandywine’s growing rental arm (the 234-unit Delhaven Pointe in Murrieta) — high value per relationship.</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Needs confidence in pro forma, delivery, and the operating story before committing capital.</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Proven delivery, a clear rental thesis, and investor-grade materials.</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Partner targeting and investor-ready deal packets grow the rental pipeline as capital rotates toward build-to-rent.</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AI Lead Gen — investor and partner targeting. My Dev — deal-packet automation.</w:t>
            </w:r>
          </w:p>
        </w:tc>
      </w:tr>
    </w:tbl>
    <w:p>
      <w:pPr>
        <w:spacing w:after="0" w:before="20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Figure 6.0 maps each by deal value and by strategic influence on the pipeline. The story is clear: Brandywine’s growth is gated by the supply-side relationships at the top — cities, landowners, and capital — which is exactly where account intelligence and faster filings matter most.</w:t>
      </w:r>
    </w:p>
    <w:p>
      <w:pPr>
        <w:spacing w:after="0" w:before="60"/>
      </w:pPr>
      <w:r>
        <w:t xml:space="preserve"/>
      </w:r>
    </w:p>
    <w:p>
      <w:pPr>
        <w:spacing w:after="80" w:before="120"/>
        <w:jc w:val="center"/>
      </w:pPr>
      <w:r>
        <w:drawing>
          <wp:inline distT="0" distB="0" distL="0" distR="0">
            <wp:extent cx="5524500" cy="3686175"/>
            <wp:effectExtent t="0" r="0" b="0" l="0"/>
            <wp:docPr id="1" name="Brandywine Stakeholder Matrix" descr="Brandywine Stakeholder Matrix" title="Brandywine Stakeholder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68617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6.0 — Stakeholder Matrix: Deal / Relationship Value vs. Strategic Influence on the Pipeline</w:t>
      </w:r>
    </w:p>
    <w:p>
      <w:pPr>
        <w:pStyle w:val="Heading1"/>
        <w:keepNext/>
        <w:pageBreakBefore/>
        <w:spacing w:after="120" w:before="0" w:line="240"/>
      </w:pPr>
      <w:r>
        <w:rPr>
          <w:rFonts w:ascii="Open Sans" w:cs="Open Sans" w:eastAsia="Open Sans" w:hAnsi="Open Sans"/>
          <w:color w:val="FFFFFF"/>
          <w:sz w:val="2"/>
          <w:szCs w:val="2"/>
        </w:rPr>
        <w:t xml:space="preserve">07  Competitive Landscape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07  Competitive Landscape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Brandywine competes in two arenas. Among Southern California infill builders, the field is conventional — modern websites and human sales offices, but no AI anywhere in land, entitlements, construction, or sales. Among the national production giants, AI is already a weapon — but those tools are built for large-tract, master-planned work, not parcel-by-parcel infill. Brandywine cannot out-scale Lennar; it can be the first infill builder to bring AI to the infill-specific hard problems.</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38"/>
        <w:gridCol w:w="3052"/>
        <w:gridCol w:w="4070"/>
      </w:tblGrid>
      <w:tr>
        <w:trPr>
          <w:cantSplit/>
          <w:tblHeader/>
        </w:trPr>
        <w:tc>
          <w:tcPr>
            <w:tcW w:type="dxa" w:w="223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Competitor</w:t>
            </w:r>
          </w:p>
        </w:tc>
        <w:tc>
          <w:tcPr>
            <w:tcW w:type="dxa" w:w="30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Profile</w:t>
            </w:r>
          </w:p>
        </w:tc>
        <w:tc>
          <w:tcPr>
            <w:tcW w:type="dxa" w:w="407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Posture vs. Brandywine</w:t>
            </w:r>
          </w:p>
        </w:tc>
      </w:tr>
      <w:tr>
        <w:trPr>
          <w:cantSplit/>
        </w:trPr>
        <w:tc>
          <w:tcPr>
            <w:tcW w:type="dxa" w:w="223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Olson Company</w:t>
            </w:r>
          </w:p>
        </w:tc>
        <w:tc>
          <w:tcPr>
            <w:tcW w:type="dxa" w:w="30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Seal Beach; 11,000+ urban-infill homes across ~100 CA cities</w:t>
            </w:r>
          </w:p>
        </w:tc>
        <w:tc>
          <w:tcPr>
            <w:tcW w:type="dxa" w:w="407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closest strategic peer — scale and infill focus, but no AI signals; beatable on speed and tooling</w:t>
            </w:r>
          </w:p>
        </w:tc>
      </w:tr>
      <w:tr>
        <w:trPr>
          <w:cantSplit/>
        </w:trPr>
        <w:tc>
          <w:tcPr>
            <w:tcW w:type="dxa" w:w="223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City Ventures</w:t>
            </w:r>
          </w:p>
        </w:tc>
        <w:tc>
          <w:tcPr>
            <w:tcW w:type="dxa" w:w="30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Irvine; ~5,000 all-electric / solar infill townhomes</w:t>
            </w:r>
          </w:p>
        </w:tc>
        <w:tc>
          <w:tcPr>
            <w:tcW w:type="dxa" w:w="407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Modern brand and live chat, but no AI, no land tooling — a conventional digital posture</w:t>
            </w:r>
          </w:p>
        </w:tc>
      </w:tr>
      <w:tr>
        <w:trPr>
          <w:cantSplit/>
        </w:trPr>
        <w:tc>
          <w:tcPr>
            <w:tcW w:type="dxa" w:w="223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Melia Homes</w:t>
            </w:r>
          </w:p>
        </w:tc>
        <w:tc>
          <w:tcPr>
            <w:tcW w:type="dxa" w:w="30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Irvine; OC infill (Anaheim, Stanton, Placentia)</w:t>
            </w:r>
          </w:p>
        </w:tc>
        <w:tc>
          <w:tcPr>
            <w:tcW w:type="dxa" w:w="407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Templated builder website, no AI — directly overlapping turf, easy to out-modernize</w:t>
            </w:r>
          </w:p>
        </w:tc>
      </w:tr>
      <w:tr>
        <w:trPr>
          <w:cantSplit/>
        </w:trPr>
        <w:tc>
          <w:tcPr>
            <w:tcW w:type="dxa" w:w="223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Trumark Homes</w:t>
            </w:r>
          </w:p>
        </w:tc>
        <w:tc>
          <w:tcPr>
            <w:tcW w:type="dxa" w:w="30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San Ramon (Daiwa House); core infill, "land others won’t touch"</w:t>
            </w:r>
          </w:p>
        </w:tc>
        <w:tc>
          <w:tcPr>
            <w:tcW w:type="dxa" w:w="407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Best-in-class among infill peers — a buyer portal and virtual counselors — but still no generative AI</w:t>
            </w:r>
          </w:p>
        </w:tc>
      </w:tr>
      <w:tr>
        <w:trPr>
          <w:cantSplit/>
        </w:trPr>
        <w:tc>
          <w:tcPr>
            <w:tcW w:type="dxa" w:w="223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Risewell (New Home Co + Landsea)</w:t>
            </w:r>
          </w:p>
        </w:tc>
        <w:tc>
          <w:tcPr>
            <w:tcW w:type="dxa" w:w="30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Irvine; top-25 builder; "High Performance Homes" + Apple HomeKit</w:t>
            </w:r>
          </w:p>
        </w:tc>
        <w:tc>
          <w:tcPr>
            <w:tcW w:type="dxa" w:w="407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strongest tech brand among regionals, but that is smart-home product tech, not AI in operations or land</w:t>
            </w:r>
          </w:p>
        </w:tc>
      </w:tr>
      <w:tr>
        <w:trPr>
          <w:cantSplit/>
        </w:trPr>
        <w:tc>
          <w:tcPr>
            <w:tcW w:type="dxa" w:w="223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Lennar / D.R. Horton (national)</w:t>
            </w:r>
          </w:p>
        </w:tc>
        <w:tc>
          <w:tcPr>
            <w:tcW w:type="dxa" w:w="30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Production giants; LISA AI sales agent; Prophetic AI land platform</w:t>
            </w:r>
          </w:p>
        </w:tc>
        <w:tc>
          <w:tcPr>
            <w:tcW w:type="dxa" w:w="407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AI benchmark — but aimed at large-tract production, not infill; the model to learn from, not match on scale</w:t>
            </w:r>
          </w:p>
        </w:tc>
      </w:tr>
    </w:tbl>
    <w:p>
      <w:pPr>
        <w:spacing w:after="0" w:before="200"/>
      </w:pPr>
      <w:r>
        <w:t xml:space="preserve"/>
      </w:r>
    </w:p>
    <w:p>
      <w:pPr>
        <w:pStyle w:val="Heading2"/>
        <w:keepNext/>
        <w:keepLines/>
        <w:spacing w:after="120" w:before="280"/>
      </w:pPr>
      <w:r>
        <w:rPr>
          <w:rFonts w:ascii="Open Sans" w:cs="Open Sans" w:eastAsia="Open Sans" w:hAnsi="Open Sans"/>
          <w:b/>
          <w:bCs/>
          <w:color w:val="006DB6"/>
          <w:sz w:val="26"/>
          <w:szCs w:val="26"/>
        </w:rPr>
        <w:t xml:space="preserve">Scale &amp; AI-Maturity Scorecard</w:t>
      </w:r>
    </w:p>
    <w:p>
      <w:pPr>
        <w:spacing w:after="140" w:before="0" w:line="320"/>
        <w:jc w:val="both"/>
      </w:pPr>
      <w:r>
        <w:rPr>
          <w:rFonts w:ascii="Open Sans" w:cs="Open Sans" w:eastAsia="Open Sans" w:hAnsi="Open Sans"/>
          <w:b w:val="false"/>
          <w:bCs w:val="false"/>
          <w:i w:val="false"/>
          <w:iCs w:val="false"/>
          <w:color w:val="59595B"/>
          <w:sz w:val="22"/>
          <w:szCs w:val="22"/>
        </w:rPr>
        <w:t xml:space="preserve">Reduced to the two things that decide who wins the land and the buyer — scale and AI maturity — the picture is stark. The entire Southern California infill cohort sits in the same corner: real businesses, real reputations, and no AI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1497"/>
        <w:gridCol w:w="1497"/>
        <w:gridCol w:w="1497"/>
        <w:gridCol w:w="2436"/>
      </w:tblGrid>
      <w:tr>
        <w:trPr>
          <w:cantSplit/>
          <w:tblHeader/>
        </w:trPr>
        <w:tc>
          <w:tcPr>
            <w:tcW w:type="dxa" w:w="243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Player</w:t>
            </w:r>
          </w:p>
        </w:tc>
        <w:tc>
          <w:tcPr>
            <w:tcW w:type="dxa" w:w="149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Scale</w:t>
            </w:r>
          </w:p>
        </w:tc>
        <w:tc>
          <w:tcPr>
            <w:tcW w:type="dxa" w:w="149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Land AI</w:t>
            </w:r>
          </w:p>
        </w:tc>
        <w:tc>
          <w:tcPr>
            <w:tcW w:type="dxa" w:w="149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Sales AI</w:t>
            </w:r>
          </w:p>
        </w:tc>
        <w:tc>
          <w:tcPr>
            <w:tcW w:type="dxa" w:w="243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Verdict</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Lennar</w:t>
            </w:r>
          </w:p>
        </w:tc>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National</w:t>
            </w:r>
          </w:p>
        </w:tc>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1EAAC8"/>
                <w:sz w:val="20"/>
                <w:szCs w:val="20"/>
              </w:rPr>
              <w:t xml:space="preserve">Partial</w:t>
            </w:r>
          </w:p>
        </w:tc>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28A745"/>
                <w:sz w:val="20"/>
                <w:szCs w:val="20"/>
              </w:rPr>
              <w:t xml:space="preserve">Yes</w:t>
            </w:r>
          </w:p>
        </w:tc>
        <w:tc>
          <w:tcPr>
            <w:tcW w:type="dxa" w:w="243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Scale + AI leader (large-tract)</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D.R. Horton</w:t>
            </w:r>
          </w:p>
        </w:tc>
        <w:tc>
          <w:tcPr>
            <w:tcW w:type="dxa" w:w="14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National</w:t>
            </w:r>
          </w:p>
        </w:tc>
        <w:tc>
          <w:tcPr>
            <w:tcW w:type="dxa" w:w="14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28A745"/>
                <w:sz w:val="20"/>
                <w:szCs w:val="20"/>
              </w:rPr>
              <w:t xml:space="preserve">Yes</w:t>
            </w:r>
          </w:p>
        </w:tc>
        <w:tc>
          <w:tcPr>
            <w:tcW w:type="dxa" w:w="14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1EAAC8"/>
                <w:sz w:val="20"/>
                <w:szCs w:val="20"/>
              </w:rPr>
              <w:t xml:space="preserve">Partial</w:t>
            </w:r>
          </w:p>
        </w:tc>
        <w:tc>
          <w:tcPr>
            <w:tcW w:type="dxa" w:w="243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land via Prophetic</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Trumark</w:t>
            </w:r>
          </w:p>
        </w:tc>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Regional</w:t>
            </w:r>
          </w:p>
        </w:tc>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CC0000"/>
                <w:sz w:val="20"/>
                <w:szCs w:val="20"/>
              </w:rPr>
              <w:t xml:space="preserve">None</w:t>
            </w:r>
          </w:p>
        </w:tc>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Portal</w:t>
            </w:r>
          </w:p>
        </w:tc>
        <w:tc>
          <w:tcPr>
            <w:tcW w:type="dxa" w:w="243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Best infill peer — still no AI</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Olson / City Ventures / Melia</w:t>
            </w:r>
          </w:p>
        </w:tc>
        <w:tc>
          <w:tcPr>
            <w:tcW w:type="dxa" w:w="14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Regional</w:t>
            </w:r>
          </w:p>
        </w:tc>
        <w:tc>
          <w:tcPr>
            <w:tcW w:type="dxa" w:w="14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CC0000"/>
                <w:sz w:val="20"/>
                <w:szCs w:val="20"/>
              </w:rPr>
              <w:t xml:space="preserve">None</w:t>
            </w:r>
          </w:p>
        </w:tc>
        <w:tc>
          <w:tcPr>
            <w:tcW w:type="dxa" w:w="14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CC0000"/>
                <w:sz w:val="20"/>
                <w:szCs w:val="20"/>
              </w:rPr>
              <w:t xml:space="preserve">None</w:t>
            </w:r>
          </w:p>
        </w:tc>
        <w:tc>
          <w:tcPr>
            <w:tcW w:type="dxa" w:w="243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Conventional infill cohort</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Brandywine (today)</w:t>
            </w:r>
          </w:p>
        </w:tc>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Regional</w:t>
            </w:r>
          </w:p>
        </w:tc>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CC0000"/>
                <w:sz w:val="20"/>
                <w:szCs w:val="20"/>
              </w:rPr>
              <w:t xml:space="preserve">None</w:t>
            </w:r>
          </w:p>
        </w:tc>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CC0000"/>
                <w:sz w:val="20"/>
                <w:szCs w:val="20"/>
              </w:rPr>
              <w:t xml:space="preserve">None</w:t>
            </w:r>
          </w:p>
        </w:tc>
        <w:tc>
          <w:tcPr>
            <w:tcW w:type="dxa" w:w="243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First-mover lane is open</w:t>
            </w:r>
          </w:p>
        </w:tc>
      </w:tr>
    </w:tbl>
    <w:p>
      <w:pPr>
        <w:spacing w:after="0" w:before="16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Figure 7.0 plots the field. The whole infill cohort — Brandywine included — sits in the bottom-left: regional scale, no AI. The national giants are top-right but pointed at different work. The realistic, high-payoff move is straight up: be the first infill builder with AI in land, entitlements, and absorption.</w:t>
      </w:r>
    </w:p>
    <w:p>
      <w:pPr>
        <w:spacing w:after="0" w:before="60"/>
      </w:pPr>
      <w:r>
        <w:t xml:space="preserve"/>
      </w:r>
    </w:p>
    <w:p>
      <w:pPr>
        <w:spacing w:after="80" w:before="120"/>
        <w:jc w:val="center"/>
      </w:pPr>
      <w:r>
        <w:drawing>
          <wp:inline distT="0" distB="0" distL="0" distR="0">
            <wp:extent cx="5524500" cy="3686175"/>
            <wp:effectExtent t="0" r="0" b="0" l="0"/>
            <wp:docPr id="1" name="Competitive Positioning — Scale vs. AI &amp; Digital Maturity" descr="Competitive Positioning — Scale vs. AI &amp; Digital Maturity" title="Competitive Positioning — Scale vs. AI &amp; Digital Matu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368617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7.0 — Competitive Positioning: Scale / Volume vs. AI &amp; Digital Maturity</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Where Brandywine Wins</w:t>
            </w:r>
          </w:p>
          <w:p>
            <w:pPr>
              <w:keepNext/>
              <w:keepLines/>
              <w:spacing w:after="60" w:before="40" w:line="300"/>
            </w:pPr>
            <w:r>
              <w:rPr>
                <w:rFonts w:ascii="Open Sans" w:cs="Open Sans" w:eastAsia="Open Sans" w:hAnsi="Open Sans"/>
                <w:color w:val="59595B"/>
                <w:sz w:val="20"/>
                <w:szCs w:val="20"/>
              </w:rPr>
              <w:t xml:space="preserve">Not on scale — Lennar and D.R. Horton are a different size and a different business. The win is on the infill-specific hard problems their large-tract tools do not address: parcel assemblage, brownfield and by-right screening, and entitlement acceleration.</w:t>
            </w:r>
          </w:p>
          <w:p>
            <w:pPr>
              <w:keepNext/>
              <w:keepLines/>
              <w:spacing w:after="60" w:before="40" w:line="300"/>
            </w:pPr>
            <w:r>
              <w:rPr>
                <w:rFonts w:ascii="Open Sans" w:cs="Open Sans" w:eastAsia="Open Sans" w:hAnsi="Open Sans"/>
                <w:color w:val="59595B"/>
                <w:sz w:val="20"/>
                <w:szCs w:val="20"/>
              </w:rPr>
              <w:t xml:space="preserve">Against the infill cohort, the advantage is simply being first: a 32-year reputation and city relationships, now armed with AI, against competitors running the same process they ran a decade ago.</w:t>
            </w:r>
          </w:p>
          <w:p>
            <w:pPr>
              <w:keepNext w:val="false"/>
              <w:keepLines/>
              <w:spacing w:after="60" w:before="40" w:line="300"/>
            </w:pPr>
            <w:r>
              <w:rPr>
                <w:rFonts w:ascii="Open Sans" w:cs="Open Sans" w:eastAsia="Open Sans" w:hAnsi="Open Sans"/>
                <w:color w:val="59595B"/>
                <w:sz w:val="20"/>
                <w:szCs w:val="20"/>
              </w:rPr>
              <w:t xml:space="preserve">The same content and presence that win buyers also make Brandywine a more credible partner to cities and capital — so both fronts compound.</w:t>
            </w:r>
          </w:p>
        </w:tc>
      </w:tr>
    </w:tbl>
    <w:p>
      <w:pPr>
        <w:pStyle w:val="Heading1"/>
        <w:keepNext/>
        <w:pageBreakBefore/>
        <w:spacing w:after="120" w:before="0" w:line="240"/>
      </w:pPr>
      <w:r>
        <w:rPr>
          <w:rFonts w:ascii="Open Sans" w:cs="Open Sans" w:eastAsia="Open Sans" w:hAnsi="Open Sans"/>
          <w:color w:val="FFFFFF"/>
          <w:sz w:val="2"/>
          <w:szCs w:val="2"/>
        </w:rPr>
        <w:t xml:space="preserve">08  Brand &amp; Digital Presence Audit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08  Brand &amp; Digital Presence Audit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For a 32-year, $1.2 billion builder, the digital presence is solid where it points at buyers and thin where it points at the partners who actually gate growth. A few fixes are unusually high-return because the audiences — cities, landowners, capital, and increasingly AI search engines — decide largely online.</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2995"/>
        <w:gridCol w:w="3932"/>
      </w:tblGrid>
      <w:tr>
        <w:trPr>
          <w:cantSplit/>
          <w:tblHeader/>
        </w:trPr>
        <w:tc>
          <w:tcPr>
            <w:tcW w:type="dxa" w:w="243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Digital Asset</w:t>
            </w:r>
          </w:p>
        </w:tc>
        <w:tc>
          <w:tcPr>
            <w:tcW w:type="dxa" w:w="299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Current State</w:t>
            </w:r>
          </w:p>
        </w:tc>
        <w:tc>
          <w:tcPr>
            <w:tcW w:type="dxa" w:w="393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Gap / Opportunity</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Crawler / AI access</w:t>
            </w:r>
          </w:p>
        </w:tc>
        <w:tc>
          <w:tcPr>
            <w:tcW w:type="dxa" w:w="299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website returns an HTTP 403 to non-browser fetchers — it renders for people but blocks many crawlers and AI fetchers</w:t>
            </w:r>
          </w:p>
        </w:tc>
        <w:tc>
          <w:tcPr>
            <w:tcW w:type="dxa" w:w="393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quiet but real visibility risk as buyers shift to AI search — fix it so Google and AI assistants can read the site</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AI-search momentum</w:t>
            </w:r>
          </w:p>
        </w:tc>
        <w:tc>
          <w:tcPr>
            <w:tcW w:type="dxa" w:w="299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Internal links already carry a ChatGPT-referral tag — Brandywine is tracking AI-search traffic</w:t>
            </w:r>
          </w:p>
        </w:tc>
        <w:tc>
          <w:tcPr>
            <w:tcW w:type="dxa" w:w="393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strong signal to build on: answer-engine optimization done right turns that momentum into cited visibility</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B2B partner presence</w:t>
            </w:r>
          </w:p>
        </w:tc>
        <w:tc>
          <w:tcPr>
            <w:tcW w:type="dxa" w:w="299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single static "Partnerships" page; a light LinkedIn footprint despite a relationship-driven, PPP-heavy model</w:t>
            </w:r>
          </w:p>
        </w:tc>
        <w:tc>
          <w:tcPr>
            <w:tcW w:type="dxa" w:w="393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 findable surface for the landowners, cities, and capital partners that gate the pipeline — the biggest gap</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Buyer content</w:t>
            </w:r>
          </w:p>
        </w:tc>
        <w:tc>
          <w:tcPr>
            <w:tcW w:type="dxa" w:w="299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Modern per-community microsites with real-time availability and a steady SEO blog</w:t>
            </w:r>
          </w:p>
        </w:tc>
        <w:tc>
          <w:tcPr>
            <w:tcW w:type="dxa" w:w="393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good foundation — make each community page AI-readable (schema, FAQ) so assistants cite it</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Construction / proptech</w:t>
            </w:r>
          </w:p>
        </w:tc>
        <w:tc>
          <w:tcPr>
            <w:tcW w:type="dxa" w:w="299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 public signal of BIM, land tools, scheduling, or estimating technology</w:t>
            </w:r>
          </w:p>
        </w:tc>
        <w:tc>
          <w:tcPr>
            <w:tcW w:type="dxa" w:w="393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blank slate — the operational AI that competitors lack is entirely greenfield here</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Reputation / social</w:t>
            </w:r>
          </w:p>
        </w:tc>
        <w:tc>
          <w:tcPr>
            <w:tcW w:type="dxa" w:w="299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Modest social following for a builder of this tenure; light review footprint</w:t>
            </w:r>
          </w:p>
        </w:tc>
        <w:tc>
          <w:tcPr>
            <w:tcW w:type="dxa" w:w="393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Under-merchandised proof for both buyers and partners — a fast, compounding content win</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Presence Gap Is the On-Ramp</w:t>
            </w:r>
          </w:p>
          <w:p>
            <w:pPr>
              <w:keepNext/>
              <w:keepLines/>
              <w:spacing w:after="60" w:before="40" w:line="300"/>
            </w:pPr>
            <w:r>
              <w:rPr>
                <w:rFonts w:ascii="Open Sans" w:cs="Open Sans" w:eastAsia="Open Sans" w:hAnsi="Open Sans"/>
                <w:color w:val="59595B"/>
                <w:sz w:val="20"/>
                <w:szCs w:val="20"/>
              </w:rPr>
              <w:t xml:space="preserve">None of this requires changing the business — only making a strong, proven operation as findable and as modern online as it already is in the field.</w:t>
            </w:r>
          </w:p>
          <w:p>
            <w:pPr>
              <w:keepNext/>
              <w:keepLines/>
              <w:spacing w:after="60" w:before="40" w:line="300"/>
            </w:pPr>
            <w:r>
              <w:rPr>
                <w:rFonts w:ascii="Open Sans" w:cs="Open Sans" w:eastAsia="Open Sans" w:hAnsi="Open Sans"/>
                <w:color w:val="59595B"/>
                <w:sz w:val="20"/>
                <w:szCs w:val="20"/>
              </w:rPr>
              <w:t xml:space="preserve">The crawler fix and a partner-facing presence are low-cost, compounding moves with fast returns — and Brandywine is already courting AI-search traffic, so the foundation is started.</w:t>
            </w:r>
          </w:p>
          <w:p>
            <w:pPr>
              <w:keepNext w:val="false"/>
              <w:keepLines/>
              <w:spacing w:after="60" w:before="40" w:line="300"/>
            </w:pPr>
            <w:r>
              <w:rPr>
                <w:rFonts w:ascii="Open Sans" w:cs="Open Sans" w:eastAsia="Open Sans" w:hAnsi="Open Sans"/>
                <w:color w:val="59595B"/>
                <w:sz w:val="20"/>
                <w:szCs w:val="20"/>
              </w:rPr>
              <w:t xml:space="preserve">They are also the natural first ninety days: fix the foundation and turn on intelligence, then build the tools on top.</w:t>
            </w:r>
          </w:p>
        </w:tc>
      </w:tr>
    </w:tbl>
    <w:p>
      <w:pPr>
        <w:spacing w:after="0" w:before="160"/>
      </w:pPr>
      <w:r>
        <w:t xml:space="preserve"/>
      </w:r>
    </w:p>
    <w:p>
      <w:pPr>
        <w:pStyle w:val="Heading2"/>
        <w:keepNext/>
        <w:keepLines/>
        <w:spacing w:after="120" w:before="280"/>
      </w:pPr>
      <w:r>
        <w:rPr>
          <w:rFonts w:ascii="Open Sans" w:cs="Open Sans" w:eastAsia="Open Sans" w:hAnsi="Open Sans"/>
          <w:b/>
          <w:bCs/>
          <w:color w:val="F67D4B"/>
          <w:sz w:val="26"/>
          <w:szCs w:val="26"/>
        </w:rPr>
        <w:t xml:space="preserve">AI Search Reality Check</w:t>
      </w:r>
    </w:p>
    <w:p>
      <w:pPr>
        <w:spacing w:after="140" w:before="0" w:line="320"/>
        <w:jc w:val="both"/>
      </w:pPr>
      <w:r>
        <w:rPr>
          <w:rFonts w:ascii="Open Sans" w:cs="Open Sans" w:eastAsia="Open Sans" w:hAnsi="Open Sans"/>
          <w:b w:val="false"/>
          <w:bCs w:val="false"/>
          <w:i w:val="false"/>
          <w:iCs w:val="false"/>
          <w:color w:val="59595B"/>
          <w:sz w:val="22"/>
          <w:szCs w:val="22"/>
        </w:rPr>
        <w:t xml:space="preserve">Here is the gap made concrete. When a buyer or a city partner asks an AI assistant the question below today, this is the shape of the answer they get — illustrative of how AI search resolves this query right now, given the crawler block: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Prompt: "Who builds quality infill townhomes on redeveloped sites in Orange County?"</w:t>
            </w:r>
          </w:p>
          <w:p>
            <w:pPr>
              <w:keepNext/>
              <w:keepLines/>
              <w:spacing w:after="60" w:before="40" w:line="300"/>
            </w:pPr>
            <w:r>
              <w:rPr>
                <w:rFonts w:ascii="Open Sans" w:cs="Open Sans" w:eastAsia="Open Sans" w:hAnsi="Open Sans"/>
                <w:color w:val="59595B"/>
                <w:sz w:val="20"/>
                <w:szCs w:val="20"/>
              </w:rPr>
              <w:t xml:space="preserve">TODAY — the AI assistant answers with whichever builders have content it can actually read and third-party signals it can find: it names a couple of larger regional and national builders, and does NOT mention Brandywine — even though Brandywine has 32 years, 60-plus infill communities, and a documented public-private-partnership track record. With the site returning a 403 to many fetchers, the assistant cannot read the very pages that would make Brandywine the obvious answer. Brandywine is invisible at the exact moment a buyer or a city is forming a shortlist.</w:t>
            </w:r>
          </w:p>
          <w:p>
            <w:pPr>
              <w:keepNext w:val="false"/>
              <w:keepLines/>
              <w:spacing w:after="60" w:before="40" w:line="300"/>
            </w:pPr>
            <w:r>
              <w:rPr>
                <w:rFonts w:ascii="Open Sans" w:cs="Open Sans" w:eastAsia="Open Sans" w:hAnsi="Open Sans"/>
                <w:color w:val="59595B"/>
                <w:sz w:val="20"/>
                <w:szCs w:val="20"/>
              </w:rPr>
              <w:t xml:space="preserve">AFTER THE FIX — the same query returns Brandywine as a cited option ("Brandywine Homes is a family-owned Southern California infill builder with 60+ communities and a public-private-partnership track record…"), with the AI-readable community pages and the partner-facing presence as the supporting evidence the assistant points to.</w:t>
            </w:r>
          </w:p>
        </w:tc>
      </w:tr>
    </w:tbl>
    <w:p>
      <w:pPr>
        <w:spacing w:after="140" w:before="0" w:line="320"/>
        <w:jc w:val="both"/>
      </w:pPr>
      <w:r>
        <w:rPr>
          <w:rFonts w:ascii="Open Sans" w:cs="Open Sans" w:eastAsia="Open Sans" w:hAnsi="Open Sans"/>
          <w:b w:val="false"/>
          <w:bCs w:val="false"/>
          <w:i/>
          <w:iCs/>
          <w:color w:val="59595B"/>
          <w:sz w:val="18"/>
          <w:szCs w:val="18"/>
        </w:rPr>
        <w:t xml:space="preserve">(Illustrative of current AI-search behavior for this query class; the live result is part of the free Nexus Assess baseline.)</w:t>
      </w:r>
    </w:p>
    <w:p>
      <w:pPr>
        <w:spacing w:after="0" w:before="160"/>
      </w:pPr>
      <w:r>
        <w:t xml:space="preserve"/>
      </w:r>
    </w:p>
    <w:p>
      <w:pPr>
        <w:pStyle w:val="Heading2"/>
        <w:keepNext/>
        <w:keepLines/>
        <w:spacing w:after="120" w:before="280"/>
      </w:pPr>
      <w:r>
        <w:rPr>
          <w:rFonts w:ascii="Open Sans" w:cs="Open Sans" w:eastAsia="Open Sans" w:hAnsi="Open Sans"/>
          <w:b/>
          <w:bCs/>
          <w:color w:val="CC0000"/>
          <w:sz w:val="26"/>
          <w:szCs w:val="26"/>
        </w:rPr>
        <w:t xml:space="preserve">The Cost of Waiting</w:t>
      </w:r>
    </w:p>
    <w:p>
      <w:pPr>
        <w:spacing w:after="140" w:before="0" w:line="320"/>
        <w:jc w:val="both"/>
      </w:pPr>
      <w:r>
        <w:rPr>
          <w:rFonts w:ascii="Open Sans" w:cs="Open Sans" w:eastAsia="Open Sans" w:hAnsi="Open Sans"/>
          <w:b w:val="false"/>
          <w:bCs w:val="false"/>
          <w:i w:val="false"/>
          <w:iCs w:val="false"/>
          <w:color w:val="59595B"/>
          <w:sz w:val="22"/>
          <w:szCs w:val="22"/>
        </w:rPr>
        <w:t xml:space="preserve">AI-search visibility compounds, and it rewards whoever optimizes first. Every quarter the site stays unreadable to crawlers and the partner presence stays thin, the assistants learn to answer "infill builder in Southern California" with someone else — and that default, once set in the training and retrieval data, is harder and more expensive to dislodge than to claim now. The same is true of the supply side: the CEQA-reform window rewards the fastest mover on by-right infill, and that speed comes from the screening-and-drafting layer this report describes. No SoCal infill competitor has moved yet — that lane is open today, not indefinitely. The cost of waiting is not zero; it is a competitor becoming the default answer and the first to clear the new exemptions.</w:t>
      </w:r>
    </w:p>
    <w:p>
      <w:pPr>
        <w:pStyle w:val="Heading1"/>
        <w:keepNext/>
        <w:pageBreakBefore/>
        <w:spacing w:after="120" w:before="0" w:line="240"/>
      </w:pPr>
      <w:r>
        <w:rPr>
          <w:rFonts w:ascii="Open Sans" w:cs="Open Sans" w:eastAsia="Open Sans" w:hAnsi="Open Sans"/>
          <w:color w:val="FFFFFF"/>
          <w:sz w:val="2"/>
          <w:szCs w:val="2"/>
        </w:rPr>
        <w:t xml:space="preserve">09  Technijian Capabilities — Proven Builds &amp; Services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09  Technijian Capabilities — Proven Builds &amp; Services</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Before the pitch, the proof. This section separates two things plainly: AI systems Technijian has actually built and shipped, and the productized services Brandywine would engage. Each is labeled for what it is, and each maps to a specific use in the infill pipeline. Technijian is an Irvine firm that builds and operates production-grade AI — not a strategy shop that hands over a deck.</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Proven Builds — Systems Technijian Has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AI Document Intelligence (Days to Minutes)</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deployed AI document intelligence that auto-populates complex vendor questionnaires for FINRA-registered broker-dealers, cutting response time from days to minutes with 60-80% less manual review.</w:t>
            </w:r>
          </w:p>
          <w:p>
            <w:pPr>
              <w:spacing w:after="60"/>
            </w:pPr>
            <w:r>
              <w:rPr>
                <w:rFonts w:ascii="Open Sans" w:cs="Open Sans" w:eastAsia="Open Sans" w:hAnsi="Open Sans"/>
                <w:b/>
                <w:bCs/>
                <w:color w:val="F67D4B"/>
                <w:sz w:val="20"/>
                <w:szCs w:val="20"/>
              </w:rPr>
              <w:t xml:space="preserve">How This Applies to Brandywine Homes: </w:t>
            </w:r>
            <w:r>
              <w:rPr>
                <w:rFonts w:ascii="Open Sans" w:cs="Open Sans" w:eastAsia="Open Sans" w:hAnsi="Open Sans"/>
                <w:color w:val="59595B"/>
                <w:sz w:val="20"/>
                <w:szCs w:val="20"/>
              </w:rPr>
              <w:t xml:space="preserve">Pointed at the entitlement stage, the same approach drafts and tracks CEQA filings, staff reports, community-meeting materials, and municipal correspondence — turning the longest, most paperwork-heavy part of the cycle into a fraction of the time.</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Multi-Agent SEO + Answer-Engine Platform</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operates a multi-agent platform (Claude, GPT-4o, and Gemini with MCP servers, plus SEMrush, GA4, and Perplexity) that produces authority content, ranks it in Google, and positions clients as the cited source inside AI assistants — cutting content-production time roughly 70%.</w:t>
            </w:r>
          </w:p>
          <w:p>
            <w:pPr>
              <w:spacing w:after="60"/>
            </w:pPr>
            <w:r>
              <w:rPr>
                <w:rFonts w:ascii="Open Sans" w:cs="Open Sans" w:eastAsia="Open Sans" w:hAnsi="Open Sans"/>
                <w:b/>
                <w:bCs/>
                <w:color w:val="F67D4B"/>
                <w:sz w:val="20"/>
                <w:szCs w:val="20"/>
              </w:rPr>
              <w:t xml:space="preserve">How This Applies to Brandywine Homes: </w:t>
            </w:r>
            <w:r>
              <w:rPr>
                <w:rFonts w:ascii="Open Sans" w:cs="Open Sans" w:eastAsia="Open Sans" w:hAnsi="Open Sans"/>
                <w:color w:val="59595B"/>
                <w:sz w:val="20"/>
                <w:szCs w:val="20"/>
              </w:rPr>
              <w:t xml:space="preserve">This is the engine that gets Brandywine found: AI-readable community pages, a landowner and city-facing presence, and the answer-engine visibility that builds on the ChatGPT-referral traffic the site already tracks.</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LLM Council — Three-Model Peer Review (ScamShield)</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built ScamShield on an LLM Council pattern — Claude, GPT-4o, and Gemini independently review and cross-check each decision — with Weaviate RAG memory and risk scoring, hitting 70-80% target gross margins.</w:t>
            </w:r>
          </w:p>
          <w:p>
            <w:pPr>
              <w:spacing w:after="60"/>
            </w:pPr>
            <w:r>
              <w:rPr>
                <w:rFonts w:ascii="Open Sans" w:cs="Open Sans" w:eastAsia="Open Sans" w:hAnsi="Open Sans"/>
                <w:b/>
                <w:bCs/>
                <w:color w:val="F67D4B"/>
                <w:sz w:val="20"/>
                <w:szCs w:val="20"/>
              </w:rPr>
              <w:t xml:space="preserve">How This Applies to Brandywine Homes: </w:t>
            </w:r>
            <w:r>
              <w:rPr>
                <w:rFonts w:ascii="Open Sans" w:cs="Open Sans" w:eastAsia="Open Sans" w:hAnsi="Open Sans"/>
                <w:color w:val="59595B"/>
                <w:sz w:val="20"/>
                <w:szCs w:val="20"/>
              </w:rPr>
              <w:t xml:space="preserve">The same pattern pressure-tests a land deal: three models independently review feasibility, zoning, and risk before Brandywine commits capital — a second, third, and fourth opinion on every parcel, in minutes.</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Weaviate + Obsidian Knowledge System</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implemented a hybrid Weaviate (vector) plus Obsidian knowledge system giving AI agents persistent, queryable memory across an organization’s documents and history.</w:t>
            </w:r>
          </w:p>
          <w:p>
            <w:pPr>
              <w:spacing w:after="60"/>
            </w:pPr>
            <w:r>
              <w:rPr>
                <w:rFonts w:ascii="Open Sans" w:cs="Open Sans" w:eastAsia="Open Sans" w:hAnsi="Open Sans"/>
                <w:b/>
                <w:bCs/>
                <w:color w:val="F67D4B"/>
                <w:sz w:val="20"/>
                <w:szCs w:val="20"/>
              </w:rPr>
              <w:t xml:space="preserve">How This Applies to Brandywine Homes: </w:t>
            </w:r>
            <w:r>
              <w:rPr>
                <w:rFonts w:ascii="Open Sans" w:cs="Open Sans" w:eastAsia="Open Sans" w:hAnsi="Open Sans"/>
                <w:color w:val="59595B"/>
                <w:sz w:val="20"/>
                <w:szCs w:val="20"/>
              </w:rPr>
              <w:t xml:space="preserve">For Brandywine it becomes an institutional-knowledge graph: 32 years of entitlement playbooks, city-by-city approval history, and subcontractor performance, queryable by a lean team so judgment scales across every concurrent community.</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Productized Services Brandywine Would Engage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My AI Lead Gen — Land &amp; Account Intelligence</w:t>
            </w:r>
          </w:p>
          <w:p>
            <w:pPr>
              <w:keepNext/>
              <w:spacing w:after="60"/>
            </w:pPr>
            <w:r>
              <w:rPr>
                <w:rFonts w:ascii="Open Sans" w:cs="Open Sans" w:eastAsia="Open Sans" w:hAnsi="Open Sans"/>
                <w:b/>
                <w:bCs/>
                <w:color w:val="1EAAC8"/>
                <w:sz w:val="20"/>
                <w:szCs w:val="20"/>
              </w:rPr>
              <w:t xml:space="preserve">The Technijian Service: </w:t>
            </w:r>
            <w:r>
              <w:rPr>
                <w:rFonts w:ascii="Open Sans" w:cs="Open Sans" w:eastAsia="Open Sans" w:hAnsi="Open Sans"/>
                <w:color w:val="59595B"/>
                <w:sz w:val="20"/>
                <w:szCs w:val="20"/>
              </w:rPr>
              <w:t xml:space="preserve">My AI Lead Gen is Technijian’s productized intelligence service — it harvests high-fit targets from public data, enriches and scores them, and delivers prioritized, outreach-ready lists.</w:t>
            </w:r>
          </w:p>
          <w:p>
            <w:pPr>
              <w:spacing w:after="60"/>
            </w:pPr>
            <w:r>
              <w:rPr>
                <w:rFonts w:ascii="Open Sans" w:cs="Open Sans" w:eastAsia="Open Sans" w:hAnsi="Open Sans"/>
                <w:b/>
                <w:bCs/>
                <w:color w:val="F67D4B"/>
                <w:sz w:val="20"/>
                <w:szCs w:val="20"/>
              </w:rPr>
              <w:t xml:space="preserve">How This Applies to Brandywine Homes: </w:t>
            </w:r>
            <w:r>
              <w:rPr>
                <w:rFonts w:ascii="Open Sans" w:cs="Open Sans" w:eastAsia="Open Sans" w:hAnsi="Open Sans"/>
                <w:color w:val="59595B"/>
                <w:sz w:val="20"/>
                <w:szCs w:val="20"/>
              </w:rPr>
              <w:t xml:space="preserve">Re-tuned for an infill builder, it monitors Southern California parcels, starts, and permits, surfaces off-market redevelopment sites and landowners, and targets the cities and capital partners worth pursuing — account intelligence for the supply side, not buyer lead-gen.</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My Dev — Custom Application Development</w:t>
            </w:r>
          </w:p>
          <w:p>
            <w:pPr>
              <w:keepNext/>
              <w:spacing w:after="60"/>
            </w:pPr>
            <w:r>
              <w:rPr>
                <w:rFonts w:ascii="Open Sans" w:cs="Open Sans" w:eastAsia="Open Sans" w:hAnsi="Open Sans"/>
                <w:b/>
                <w:bCs/>
                <w:color w:val="1EAAC8"/>
                <w:sz w:val="20"/>
                <w:szCs w:val="20"/>
              </w:rPr>
              <w:t xml:space="preserve">The Technijian Service: </w:t>
            </w:r>
            <w:r>
              <w:rPr>
                <w:rFonts w:ascii="Open Sans" w:cs="Open Sans" w:eastAsia="Open Sans" w:hAnsi="Open Sans"/>
                <w:color w:val="59595B"/>
                <w:sz w:val="20"/>
                <w:szCs w:val="20"/>
              </w:rPr>
              <w:t xml:space="preserve">My Dev is Technijian’s custom application development service, built on an AI-native development lifecycle (Claude Code, Figma Make, GitHub, and CI/CD) to ship the tools and integrations a business actually runs on.</w:t>
            </w:r>
          </w:p>
          <w:p>
            <w:pPr>
              <w:spacing w:after="60"/>
            </w:pPr>
            <w:r>
              <w:rPr>
                <w:rFonts w:ascii="Open Sans" w:cs="Open Sans" w:eastAsia="Open Sans" w:hAnsi="Open Sans"/>
                <w:b/>
                <w:bCs/>
                <w:color w:val="F67D4B"/>
                <w:sz w:val="20"/>
                <w:szCs w:val="20"/>
              </w:rPr>
              <w:t xml:space="preserve">How This Applies to Brandywine Homes: </w:t>
            </w:r>
            <w:r>
              <w:rPr>
                <w:rFonts w:ascii="Open Sans" w:cs="Open Sans" w:eastAsia="Open Sans" w:hAnsi="Open Sans"/>
                <w:color w:val="59595B"/>
                <w:sz w:val="20"/>
                <w:szCs w:val="20"/>
              </w:rPr>
              <w:t xml:space="preserve">For Brandywine it builds the AI land-and-feasibility tool, the entitlement document-intelligence pipeline, the 24/7 buyer assistant, and the institutional-knowledge graph — the custom layer the off-the-shelf tools do not cover.</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My SEO + My AI — Search, Strategy &amp; the Fractional Advisor</w:t>
            </w:r>
          </w:p>
          <w:p>
            <w:pPr>
              <w:keepNext/>
              <w:spacing w:after="60"/>
            </w:pPr>
            <w:r>
              <w:rPr>
                <w:rFonts w:ascii="Open Sans" w:cs="Open Sans" w:eastAsia="Open Sans" w:hAnsi="Open Sans"/>
                <w:b/>
                <w:bCs/>
                <w:color w:val="1EAAC8"/>
                <w:sz w:val="20"/>
                <w:szCs w:val="20"/>
              </w:rPr>
              <w:t xml:space="preserve">The Technijian Service: </w:t>
            </w:r>
            <w:r>
              <w:rPr>
                <w:rFonts w:ascii="Open Sans" w:cs="Open Sans" w:eastAsia="Open Sans" w:hAnsi="Open Sans"/>
                <w:color w:val="59595B"/>
                <w:sz w:val="20"/>
                <w:szCs w:val="20"/>
              </w:rPr>
              <w:t xml:space="preserve">My SEO is Technijian’s search and answer-engine service; My AI provides the executive workshop, the fractional AI advisor, and the strategy and governance that tie a program together.</w:t>
            </w:r>
          </w:p>
          <w:p>
            <w:pPr>
              <w:spacing w:after="60"/>
            </w:pPr>
            <w:r>
              <w:rPr>
                <w:rFonts w:ascii="Open Sans" w:cs="Open Sans" w:eastAsia="Open Sans" w:hAnsi="Open Sans"/>
                <w:b/>
                <w:bCs/>
                <w:color w:val="F67D4B"/>
                <w:sz w:val="20"/>
                <w:szCs w:val="20"/>
              </w:rPr>
              <w:t xml:space="preserve">How This Applies to Brandywine Homes: </w:t>
            </w:r>
            <w:r>
              <w:rPr>
                <w:rFonts w:ascii="Open Sans" w:cs="Open Sans" w:eastAsia="Open Sans" w:hAnsi="Open Sans"/>
                <w:color w:val="59595B"/>
                <w:sz w:val="20"/>
                <w:szCs w:val="20"/>
              </w:rPr>
              <w:t xml:space="preserve">Together they fix the crawler block, build the buyer and partner-facing presence, and put a hands-on AI advisor over the whole program so a lean team gets the value without having to run it.</w:t>
            </w:r>
          </w:p>
        </w:tc>
      </w:tr>
    </w:tbl>
    <w:p>
      <w:pPr>
        <w:spacing w:after="0" w:before="200"/>
      </w:pPr>
      <w:r>
        <w:t xml:space="preserve"/>
      </w:r>
    </w:p>
    <w:p>
      <w:pPr>
        <w:pStyle w:val="Heading2"/>
        <w:keepNext/>
        <w:keepLines/>
        <w:spacing w:after="120" w:before="280"/>
      </w:pPr>
      <w:r>
        <w:rPr>
          <w:rFonts w:ascii="Open Sans" w:cs="Open Sans" w:eastAsia="Open Sans" w:hAnsi="Open Sans"/>
          <w:b/>
          <w:bCs/>
          <w:color w:val="006DB6"/>
          <w:sz w:val="26"/>
          <w:szCs w:val="26"/>
        </w:rPr>
        <w:t xml:space="preserve">How We Keep AI Affordable — Seven Models, Routed by Task</w:t>
      </w:r>
    </w:p>
    <w:p>
      <w:pPr>
        <w:spacing w:after="140" w:before="0" w:line="320"/>
        <w:jc w:val="both"/>
      </w:pPr>
      <w:r>
        <w:rPr>
          <w:rFonts w:ascii="Open Sans" w:cs="Open Sans" w:eastAsia="Open Sans" w:hAnsi="Open Sans"/>
          <w:b w:val="false"/>
          <w:bCs w:val="false"/>
          <w:i w:val="false"/>
          <w:iCs w:val="false"/>
          <w:color w:val="59595B"/>
          <w:sz w:val="22"/>
          <w:szCs w:val="22"/>
        </w:rPr>
        <w:t xml:space="preserve">A fair question about running AI across land intelligence, entitlement drafting, and buyer absorption: won’t the token bill be enormous? Not the way Technijian builds it. We do not wire every task to one expensive model — our platform routes across roughly seven models, spanning three AI vendors and three capability tiers, and sends each sub-task to the cheapest model that can do it well.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48"/>
        <w:gridCol w:w="4752"/>
        <w:gridCol w:w="2160"/>
      </w:tblGrid>
      <w:tr>
        <w:trPr>
          <w:cantSplit/>
          <w:tblHeader/>
        </w:trPr>
        <w:tc>
          <w:tcPr>
            <w:tcW w:type="dxa" w:w="2448"/>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Tier</w:t>
            </w:r>
          </w:p>
        </w:tc>
        <w:tc>
          <w:tcPr>
            <w:tcW w:type="dxa" w:w="4752"/>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Does</w:t>
            </w:r>
          </w:p>
        </w:tc>
        <w:tc>
          <w:tcPr>
            <w:tcW w:type="dxa" w:w="2160"/>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Share of Work</w:t>
            </w:r>
          </w:p>
        </w:tc>
      </w:tr>
      <w:tr>
        <w:trPr>
          <w:cantSplit/>
        </w:trPr>
        <w:tc>
          <w:tcPr>
            <w:tcW w:type="dxa" w:w="24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Frontier (premium)</w:t>
            </w:r>
          </w:p>
        </w:tc>
        <w:tc>
          <w:tcPr>
            <w:tcW w:type="dxa" w:w="4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hardest judgment only — final brand-voice pass, the compliance-critical sections of an entitlement filing, deepest deal-feasibility reasoning</w:t>
            </w:r>
          </w:p>
        </w:tc>
        <w:tc>
          <w:tcPr>
            <w:tcW w:type="dxa" w:w="2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006DB6"/>
                <w:sz w:val="20"/>
                <w:szCs w:val="20"/>
              </w:rPr>
              <w:t xml:space="preserve">~5–10%</w:t>
            </w:r>
          </w:p>
        </w:tc>
      </w:tr>
      <w:tr>
        <w:trPr>
          <w:cantSplit/>
        </w:trPr>
        <w:tc>
          <w:tcPr>
            <w:tcW w:type="dxa" w:w="24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Workhorse (balanced)</w:t>
            </w:r>
          </w:p>
        </w:tc>
        <w:tc>
          <w:tcPr>
            <w:tcW w:type="dxa" w:w="4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bulk of drafting and reasoning — staff reports and community-meeting materials, parcel scoring, outreach personalization, summarization</w:t>
            </w:r>
          </w:p>
        </w:tc>
        <w:tc>
          <w:tcPr>
            <w:tcW w:type="dxa" w:w="2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1EAAC8"/>
                <w:sz w:val="20"/>
                <w:szCs w:val="20"/>
              </w:rPr>
              <w:t xml:space="preserve">~30–40%</w:t>
            </w:r>
          </w:p>
        </w:tc>
      </w:tr>
      <w:tr>
        <w:trPr>
          <w:cantSplit/>
        </w:trPr>
        <w:tc>
          <w:tcPr>
            <w:tcW w:type="dxa" w:w="24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Lightweight (low-cost)</w:t>
            </w:r>
          </w:p>
        </w:tc>
        <w:tc>
          <w:tcPr>
            <w:tcW w:type="dxa" w:w="4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High-volume mechanical work — classifying and extracting from thousands of parcels, enriching owner and permit records, tagging by-right eligibility</w:t>
            </w:r>
          </w:p>
        </w:tc>
        <w:tc>
          <w:tcPr>
            <w:tcW w:type="dxa" w:w="2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~50–60%</w:t>
            </w:r>
          </w:p>
        </w:tc>
      </w:tr>
    </w:tbl>
    <w:p>
      <w:pPr>
        <w:spacing w:after="140" w:before="80" w:line="320"/>
        <w:jc w:val="both"/>
      </w:pPr>
      <w:r>
        <w:rPr>
          <w:rFonts w:ascii="Open Sans" w:cs="Open Sans" w:eastAsia="Open Sans" w:hAnsi="Open Sans"/>
          <w:b w:val="false"/>
          <w:bCs w:val="false"/>
          <w:i w:val="false"/>
          <w:iCs w:val="false"/>
          <w:color w:val="59595B"/>
          <w:sz w:val="22"/>
          <w:szCs w:val="22"/>
        </w:rPr>
        <w:t xml:space="preserve">The result: Brandywine pays premium-model prices only for the small slice of work that warrants them — typically a 60–80% lower run cost than routing everything to one top-tier model, with no quality loss where it counts. A single CEQA filing, for example, is drafted by a low-cost model, tightened and fact-checked by a mid model, and given a final accuracy-and-compliance pass by a frontier model — instead of one premium model doing all three at roughly triple the cost. Where the stakes are highest, like a land-feasibility commit, the LLM-council pattern above puts three models on the same decision. This is the kind of AI engineering depth a partner brings that wiring everything to one chatbot does not.</w:t>
      </w:r>
    </w:p>
    <w:p>
      <w:pPr>
        <w:pStyle w:val="Heading1"/>
        <w:keepNext/>
        <w:pageBreakBefore/>
        <w:spacing w:after="120" w:before="0" w:line="240"/>
      </w:pPr>
      <w:r>
        <w:rPr>
          <w:rFonts w:ascii="Open Sans" w:cs="Open Sans" w:eastAsia="Open Sans" w:hAnsi="Open Sans"/>
          <w:color w:val="FFFFFF"/>
          <w:sz w:val="2"/>
          <w:szCs w:val="2"/>
        </w:rPr>
        <w:t xml:space="preserve">10  Understanding AI — A Field Guide for Brandywine Homes Leadership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10  Understanding AI — A Field Guide for Brandywine Homes Leadership</w:t>
            </w:r>
          </w:p>
        </w:tc>
      </w:tr>
    </w:tbl>
    <w:p>
      <w:pPr>
        <w:spacing w:after="0" w:before="14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section exists to make the rest of this report easy to evaluate. No jargon, no hype — just what AI is, where Brandywine sits today, how to adopt it without risk, and what comparable organizations are already doing. The goal is that Brett Whitehead, Alex Hernandez, and the Brandywine team can judge every recommendation that follows on its merits.</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What AI Actually Is — and Isn’t</w:t>
      </w:r>
    </w:p>
    <w:p>
      <w:pPr>
        <w:spacing w:after="140" w:before="0" w:line="320"/>
        <w:jc w:val="both"/>
      </w:pPr>
      <w:r>
        <w:rPr>
          <w:rFonts w:ascii="Open Sans" w:cs="Open Sans" w:eastAsia="Open Sans" w:hAnsi="Open Sans"/>
          <w:b w:val="false"/>
          <w:bCs w:val="false"/>
          <w:i w:val="false"/>
          <w:iCs w:val="false"/>
          <w:color w:val="59595B"/>
          <w:sz w:val="22"/>
          <w:szCs w:val="22"/>
        </w:rPr>
        <w:t xml:space="preserve">As MIT Sloan puts it, a leader needs to know what AI can and cannot do — not how to build it. In practice, the only distinction that matters for planning is this:</w:t>
      </w:r>
    </w:p>
    <w:p>
      <w:pPr>
        <w:pStyle w:val="ListParagraph"/>
        <w:numPr>
          <w:ilvl w:val="0"/>
          <w:numId w:val="2"/>
        </w:numPr>
        <w:spacing w:after="80" w:before="40" w:line="300"/>
      </w:pPr>
      <w:r>
        <w:rPr>
          <w:rFonts w:ascii="Open Sans" w:cs="Open Sans" w:eastAsia="Open Sans" w:hAnsi="Open Sans"/>
          <w:color w:val="59595B"/>
          <w:sz w:val="22"/>
          <w:szCs w:val="22"/>
        </w:rPr>
        <w:t xml:space="preserve">Automation (workflows): the AI follows a path you define — predictable and low-risk. For example, "draft the CEQA exemption checklist from this parcel’s zoning and APN data." This is where almost all near-term value lives.</w:t>
      </w:r>
    </w:p>
    <w:p>
      <w:pPr>
        <w:pStyle w:val="ListParagraph"/>
        <w:numPr>
          <w:ilvl w:val="0"/>
          <w:numId w:val="2"/>
        </w:numPr>
        <w:spacing w:after="80" w:before="40" w:line="300"/>
      </w:pPr>
      <w:r>
        <w:rPr>
          <w:rFonts w:ascii="Open Sans" w:cs="Open Sans" w:eastAsia="Open Sans" w:hAnsi="Open Sans"/>
          <w:color w:val="59595B"/>
          <w:sz w:val="22"/>
          <w:szCs w:val="22"/>
        </w:rPr>
        <w:t xml:space="preserve">Agents: the AI decides the steps itself — more flexible, and it needs human oversight. For example, "watch Southern California parcels and flag new off-market infill sites worth underwriting." This comes later, where it earns its place.</w:t>
      </w:r>
    </w:p>
    <w:p>
      <w:pPr>
        <w:spacing w:after="140" w:before="0" w:line="320"/>
        <w:jc w:val="both"/>
      </w:pPr>
      <w:r>
        <w:rPr>
          <w:rFonts w:ascii="Open Sans" w:cs="Open Sans" w:eastAsia="Open Sans" w:hAnsi="Open Sans"/>
          <w:b w:val="false"/>
          <w:bCs w:val="false"/>
          <w:i w:val="false"/>
          <w:iCs w:val="false"/>
          <w:color w:val="59595B"/>
          <w:sz w:val="22"/>
          <w:szCs w:val="22"/>
        </w:rPr>
        <w:t xml:space="preserve">The operating principle (Anthropic’s guidance on building AI systems) is to use the simplest thing that works. Brandywine starts with simple automations that pay off in the first 90 days, and adds autonomous agents only where the value is proven — which is exactly how the roadmap in this report is sequenced.</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Where Brandywine Sits Today — The AI Maturity Ladder</w:t>
      </w:r>
    </w:p>
    <w:p>
      <w:pPr>
        <w:spacing w:after="140" w:before="0" w:line="320"/>
        <w:jc w:val="both"/>
      </w:pPr>
      <w:r>
        <w:rPr>
          <w:rFonts w:ascii="Open Sans" w:cs="Open Sans" w:eastAsia="Open Sans" w:hAnsi="Open Sans"/>
          <w:b w:val="false"/>
          <w:bCs w:val="false"/>
          <w:i w:val="false"/>
          <w:iCs w:val="false"/>
          <w:color w:val="59595B"/>
          <w:sz w:val="22"/>
          <w:szCs w:val="22"/>
        </w:rPr>
        <w:t xml:space="preserve">Most established, well-run companies — including Brandywine — sit at the first or second rung of a widely-used five-stage AI maturity model (consistent with the Gartner and Google Cloud frameworks). The leaders in any field are only one or two rungs higher, and the gap closes in months, not years.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39"/>
        <w:gridCol w:w="5348"/>
        <w:gridCol w:w="1873"/>
      </w:tblGrid>
      <w:tr>
        <w:trPr>
          <w:cantSplit/>
          <w:tblHeader/>
        </w:trPr>
        <w:tc>
          <w:tcPr>
            <w:tcW w:type="dxa" w:w="213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Stage</w:t>
            </w:r>
          </w:p>
        </w:tc>
        <w:tc>
          <w:tcPr>
            <w:tcW w:type="dxa" w:w="534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Looks Like</w:t>
            </w:r>
          </w:p>
        </w:tc>
        <w:tc>
          <w:tcPr>
            <w:tcW w:type="dxa" w:w="187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Brandywine Today</w:t>
            </w:r>
          </w:p>
        </w:tc>
      </w:tr>
      <w:tr>
        <w:trPr>
          <w:cantSplit/>
        </w:trPr>
        <w:tc>
          <w:tcPr>
            <w:tcW w:type="dxa" w:w="21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 Foundational</w:t>
            </w:r>
          </w:p>
        </w:tc>
        <w:tc>
          <w:tcPr>
            <w:tcW w:type="dxa" w:w="53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Little or no AI; manual, people-dependent processes</w:t>
            </w:r>
          </w:p>
        </w:tc>
        <w:tc>
          <w:tcPr>
            <w:tcW w:type="dxa" w:w="187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006DB6"/>
                <w:sz w:val="20"/>
                <w:szCs w:val="20"/>
              </w:rPr>
              <w:t xml:space="preserve"/>
            </w:r>
          </w:p>
        </w:tc>
      </w:tr>
      <w:tr>
        <w:trPr>
          <w:cantSplit/>
        </w:trPr>
        <w:tc>
          <w:tcPr>
            <w:tcW w:type="dxa" w:w="21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2. Emerging</w:t>
            </w:r>
          </w:p>
        </w:tc>
        <w:tc>
          <w:tcPr>
            <w:tcW w:type="dxa" w:w="53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Already courting AI search (the site tracks ChatGPT-referral traffic) and running modern web tooling, but AI is not yet woven into land, entitlements, or absorption</w:t>
            </w:r>
          </w:p>
        </w:tc>
        <w:tc>
          <w:tcPr>
            <w:tcW w:type="dxa" w:w="187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F67D4B"/>
                <w:sz w:val="20"/>
                <w:szCs w:val="20"/>
              </w:rPr>
              <w:t xml:space="preserve">◀ You are here</w:t>
            </w:r>
          </w:p>
        </w:tc>
      </w:tr>
      <w:tr>
        <w:trPr>
          <w:cantSplit/>
        </w:trPr>
        <w:tc>
          <w:tcPr>
            <w:tcW w:type="dxa" w:w="21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 Operational</w:t>
            </w:r>
          </w:p>
        </w:tc>
        <w:tc>
          <w:tcPr>
            <w:tcW w:type="dxa" w:w="53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runs specific workflows day-to-day — parcel screening, entitlement drafting, buyer response — with measured results</w:t>
            </w:r>
          </w:p>
        </w:tc>
        <w:tc>
          <w:tcPr>
            <w:tcW w:type="dxa" w:w="187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
            </w:r>
          </w:p>
        </w:tc>
      </w:tr>
      <w:tr>
        <w:trPr>
          <w:cantSplit/>
        </w:trPr>
        <w:tc>
          <w:tcPr>
            <w:tcW w:type="dxa" w:w="21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 Scaled</w:t>
            </w:r>
          </w:p>
        </w:tc>
        <w:tc>
          <w:tcPr>
            <w:tcW w:type="dxa" w:w="53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is embedded across sourcing, entitlements, construction, and sales with governance and dashboards</w:t>
            </w:r>
          </w:p>
        </w:tc>
        <w:tc>
          <w:tcPr>
            <w:tcW w:type="dxa" w:w="187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
            </w:r>
          </w:p>
        </w:tc>
      </w:tr>
      <w:tr>
        <w:trPr>
          <w:cantSplit/>
        </w:trPr>
        <w:tc>
          <w:tcPr>
            <w:tcW w:type="dxa" w:w="21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 Transformational</w:t>
            </w:r>
          </w:p>
        </w:tc>
        <w:tc>
          <w:tcPr>
            <w:tcW w:type="dxa" w:w="53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is the default way the business sources, entitles, builds, and sells</w:t>
            </w:r>
          </w:p>
        </w:tc>
        <w:tc>
          <w:tcPr>
            <w:tcW w:type="dxa" w:w="187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
            </w:r>
          </w:p>
        </w:tc>
      </w:tr>
    </w:tbl>
    <w:p>
      <w:pPr>
        <w:spacing w:after="140" w:before="80" w:line="320"/>
        <w:jc w:val="both"/>
      </w:pPr>
      <w:r>
        <w:rPr>
          <w:rFonts w:ascii="Open Sans" w:cs="Open Sans" w:eastAsia="Open Sans" w:hAnsi="Open Sans"/>
          <w:b w:val="false"/>
          <w:bCs w:val="false"/>
          <w:i w:val="false"/>
          <w:iCs w:val="false"/>
          <w:color w:val="59595B"/>
          <w:sz w:val="22"/>
          <w:szCs w:val="22"/>
        </w:rPr>
        <w:t xml:space="preserve">Brandywine is already at the Emerging stage: it tracks AI-search referrals and runs real-time-availability tooling on its community sites. This report is the plan to reach Operational — AI working in land sourcing, entitlements, and absorption — within twelve months.</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Adopting AI Responsibly — Three Risks Every Leader Manages</w:t>
      </w:r>
    </w:p>
    <w:p>
      <w:pPr>
        <w:spacing w:after="140" w:before="0" w:line="320"/>
        <w:jc w:val="both"/>
      </w:pPr>
      <w:r>
        <w:rPr>
          <w:rFonts w:ascii="Open Sans" w:cs="Open Sans" w:eastAsia="Open Sans" w:hAnsi="Open Sans"/>
          <w:b w:val="false"/>
          <w:bCs w:val="false"/>
          <w:i w:val="false"/>
          <w:iCs w:val="false"/>
          <w:color w:val="59595B"/>
          <w:sz w:val="22"/>
          <w:szCs w:val="22"/>
        </w:rPr>
        <w:t xml:space="preserve">The U.S. government’s NIST AI Risk Management Framework gives leaders a simple mental model — Govern, Map, Measure, Manage. For a deal-driven, relationship-heavy business like Brandywine, three risks matter most, and each has a concrete control:</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9"/>
        <w:gridCol w:w="3700"/>
        <w:gridCol w:w="3701"/>
      </w:tblGrid>
      <w:tr>
        <w:trPr>
          <w:cantSplit/>
          <w:tblHeader/>
        </w:trPr>
        <w:tc>
          <w:tcPr>
            <w:tcW w:type="dxa" w:w="1959"/>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Risk</w:t>
            </w:r>
          </w:p>
        </w:tc>
        <w:tc>
          <w:tcPr>
            <w:tcW w:type="dxa" w:w="3700"/>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Means</w:t>
            </w:r>
          </w:p>
        </w:tc>
        <w:tc>
          <w:tcPr>
            <w:tcW w:type="dxa" w:w="3701"/>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How Technijian Controls It</w:t>
            </w:r>
          </w:p>
        </w:tc>
      </w:tr>
      <w:tr>
        <w:trPr>
          <w:cantSplit/>
        </w:trPr>
        <w:tc>
          <w:tcPr>
            <w:tcW w:type="dxa" w:w="19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Hallucination</w:t>
            </w:r>
          </w:p>
        </w:tc>
        <w:tc>
          <w:tcPr>
            <w:tcW w:type="dxa" w:w="37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can state a confident, wrong answer — a misread setback, an over-stated yield</w:t>
            </w:r>
          </w:p>
        </w:tc>
        <w:tc>
          <w:tcPr>
            <w:tcW w:type="dxa" w:w="37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Human-in-the-loop review on anything that goes to a city, a partner, or a buyer — AI drafts, a person approves before it leaves the building</w:t>
            </w:r>
          </w:p>
        </w:tc>
      </w:tr>
      <w:tr>
        <w:trPr>
          <w:cantSplit/>
        </w:trPr>
        <w:tc>
          <w:tcPr>
            <w:tcW w:type="dxa" w:w="19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Data leakage</w:t>
            </w:r>
          </w:p>
        </w:tc>
        <w:tc>
          <w:tcPr>
            <w:tcW w:type="dxa" w:w="37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Sensitive data pasted into public tools can escape</w:t>
            </w:r>
          </w:p>
        </w:tc>
        <w:tc>
          <w:tcPr>
            <w:tcW w:type="dxa" w:w="37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Private, governed AI deployments — deal terms, capital-partner relationships, and feasibility numbers never touch a public model</w:t>
            </w:r>
          </w:p>
        </w:tc>
      </w:tr>
      <w:tr>
        <w:trPr>
          <w:cantSplit/>
        </w:trPr>
        <w:tc>
          <w:tcPr>
            <w:tcW w:type="dxa" w:w="19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Compliance &amp; accountability</w:t>
            </w:r>
          </w:p>
        </w:tc>
        <w:tc>
          <w:tcPr>
            <w:tcW w:type="dxa" w:w="37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Untracked AI tools create audit gaps</w:t>
            </w:r>
          </w:p>
        </w:tc>
        <w:tc>
          <w:tcPr>
            <w:tcW w:type="dxa" w:w="37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Every AI tool inventoried with owner, vendor, and data source — led by a CISSP-certified team</w:t>
            </w:r>
          </w:p>
        </w:tc>
      </w:tr>
    </w:tbl>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What Comparable Organizations Are Already Doing</w:t>
      </w:r>
    </w:p>
    <w:p>
      <w:pPr>
        <w:pStyle w:val="ListParagraph"/>
        <w:numPr>
          <w:ilvl w:val="0"/>
          <w:numId w:val="2"/>
        </w:numPr>
        <w:spacing w:after="80" w:before="40" w:line="300"/>
      </w:pPr>
      <w:r>
        <w:rPr>
          <w:rFonts w:ascii="Open Sans" w:cs="Open Sans" w:eastAsia="Open Sans" w:hAnsi="Open Sans"/>
          <w:color w:val="59595B"/>
          <w:sz w:val="22"/>
          <w:szCs w:val="22"/>
        </w:rPr>
        <w:t xml:space="preserve">Homebuilding land teams: national builders run AI land platforms that let one analyst evaluate thousands of parcels a month instead of a couple hundred — finding deals a hand-run process never sees.</w:t>
      </w:r>
    </w:p>
    <w:p>
      <w:pPr>
        <w:pStyle w:val="ListParagraph"/>
        <w:numPr>
          <w:ilvl w:val="0"/>
          <w:numId w:val="2"/>
        </w:numPr>
        <w:spacing w:after="80" w:before="40" w:line="300"/>
      </w:pPr>
      <w:r>
        <w:rPr>
          <w:rFonts w:ascii="Open Sans" w:cs="Open Sans" w:eastAsia="Open Sans" w:hAnsi="Open Sans"/>
          <w:color w:val="59595B"/>
          <w:sz w:val="22"/>
          <w:szCs w:val="22"/>
        </w:rPr>
        <w:t xml:space="preserve">Regulated, document-heavy approvals: organizations facing paperwork-intensive filings are turning multi-day document assembly into a minutes-long, review-ready draft — responding to more opportunities with the same team.</w:t>
      </w:r>
    </w:p>
    <w:p>
      <w:pPr>
        <w:pStyle w:val="ListParagraph"/>
        <w:numPr>
          <w:ilvl w:val="0"/>
          <w:numId w:val="2"/>
        </w:numPr>
        <w:spacing w:after="80" w:before="40" w:line="300"/>
      </w:pPr>
      <w:r>
        <w:rPr>
          <w:rFonts w:ascii="Open Sans" w:cs="Open Sans" w:eastAsia="Open Sans" w:hAnsi="Open Sans"/>
          <w:color w:val="59595B"/>
          <w:sz w:val="22"/>
          <w:szCs w:val="22"/>
        </w:rPr>
        <w:t xml:space="preserve">For-sale and rental sales: builders and operators are using AI assistants to answer overnight buyer inquiries and book tours that would otherwise go cold until morning — converting demand a soft market makes scarce.</w:t>
      </w:r>
    </w:p>
    <w:p>
      <w:pPr>
        <w:spacing w:after="140" w:before="40" w:line="320"/>
        <w:jc w:val="both"/>
      </w:pPr>
      <w:r>
        <w:rPr>
          <w:rFonts w:ascii="Open Sans" w:cs="Open Sans" w:eastAsia="Open Sans" w:hAnsi="Open Sans"/>
          <w:b w:val="false"/>
          <w:bCs w:val="false"/>
          <w:i/>
          <w:iCs/>
          <w:color w:val="59595B"/>
          <w:sz w:val="19"/>
          <w:szCs w:val="19"/>
        </w:rPr>
        <w:t xml:space="preserve">These are representative directions of travel across comparable industries, not guarantees; Brandywine’s own numbers would be confirmed in discovery. Technijian’s specific, measured results from prior builds appear in Section 9 (Technijian Capabilities) and the operational levers in Section 12.</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A Day in the Life — A Brandywine Entitlements Lead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Before vs. After AI</w:t>
            </w:r>
          </w:p>
          <w:p>
            <w:pPr>
              <w:keepNext/>
              <w:keepLines/>
              <w:spacing w:after="60" w:before="40" w:line="300"/>
            </w:pPr>
            <w:r>
              <w:rPr>
                <w:rFonts w:ascii="Open Sans" w:cs="Open Sans" w:eastAsia="Open Sans" w:hAnsi="Open Sans"/>
                <w:color w:val="59595B"/>
                <w:sz w:val="20"/>
                <w:szCs w:val="20"/>
              </w:rPr>
              <w:t xml:space="preserve">TODAY: An entitlements lead hears about an off-market parcel, pulls zoning and APN records by hand, estimates yield from experience, and then spends days drafting the CEQA paperwork, the staff report, and the community-meeting materials city by city — most of it held in a few senior people’s heads across several concurrent communities.</w:t>
            </w:r>
          </w:p>
          <w:p>
            <w:pPr>
              <w:keepNext w:val="false"/>
              <w:keepLines/>
              <w:spacing w:after="60" w:before="40" w:line="300"/>
            </w:pPr>
            <w:r>
              <w:rPr>
                <w:rFonts w:ascii="Open Sans" w:cs="Open Sans" w:eastAsia="Open Sans" w:hAnsi="Open Sans"/>
                <w:color w:val="59595B"/>
                <w:sz w:val="20"/>
                <w:szCs w:val="20"/>
              </w:rPr>
              <w:t xml:space="preserve">WITH AI: AI parcel monitoring surfaces the site and scores its by-right path (SB 9 / SB 35-423 / AB 2011 / density bonus) with a yield estimate in minutes; an AI assistant drafts the entitlement filings and meeting materials from the parcel data; the lead reviews, corrects, and approves. The 32-year playbook is captured in a system, so the same standard holds across every community and survives a new hire or a new city.</w:t>
            </w:r>
          </w:p>
        </w:tc>
      </w:tr>
    </w:tbl>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Why a Partner — vs. Hiring or Doing It Yourself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69"/>
        <w:gridCol w:w="7091"/>
      </w:tblGrid>
      <w:tr>
        <w:trPr>
          <w:cantSplit/>
          <w:tblHeader/>
        </w:trPr>
        <w:tc>
          <w:tcPr>
            <w:tcW w:type="dxa" w:w="226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Path</w:t>
            </w:r>
          </w:p>
        </w:tc>
        <w:tc>
          <w:tcPr>
            <w:tcW w:type="dxa" w:w="709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Reality</w:t>
            </w:r>
          </w:p>
        </w:tc>
      </w:tr>
      <w:tr>
        <w:trPr>
          <w:cantSplit/>
        </w:trPr>
        <w:tc>
          <w:tcPr>
            <w:tcW w:type="dxa" w:w="226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DIY tools</w:t>
            </w:r>
          </w:p>
        </w:tc>
        <w:tc>
          <w:tcPr>
            <w:tcW w:type="dxa" w:w="709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Inexpensive, but Brandywine assembles, secures, and governs everything — and owns the three risks above alone</w:t>
            </w:r>
          </w:p>
        </w:tc>
      </w:tr>
      <w:tr>
        <w:trPr>
          <w:cantSplit/>
        </w:trPr>
        <w:tc>
          <w:tcPr>
            <w:tcW w:type="dxa" w:w="226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Hire in-house</w:t>
            </w:r>
          </w:p>
        </w:tc>
        <w:tc>
          <w:tcPr>
            <w:tcW w:type="dxa" w:w="709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capable AI leader is scarce and typically costs $180K+/year, and one person cannot cover strategy, build, security, and governance for a lean ~50-person team</w:t>
            </w:r>
          </w:p>
        </w:tc>
      </w:tr>
      <w:tr>
        <w:trPr>
          <w:cantSplit/>
        </w:trPr>
        <w:tc>
          <w:tcPr>
            <w:tcW w:type="dxa" w:w="226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Partner (Technijian)</w:t>
            </w:r>
          </w:p>
        </w:tc>
        <w:tc>
          <w:tcPr>
            <w:tcW w:type="dxa" w:w="709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Strategy, build, security, and governance in one Irvine team at a fraction of a hire — with proven builds and CISSP-led security</w:t>
            </w:r>
          </w:p>
        </w:tc>
      </w:tr>
    </w:tbl>
    <w:p>
      <w:pPr>
        <w:spacing w:after="140" w:before="100" w:line="320"/>
        <w:jc w:val="both"/>
      </w:pPr>
      <w:r>
        <w:rPr>
          <w:rFonts w:ascii="Open Sans" w:cs="Open Sans" w:eastAsia="Open Sans" w:hAnsi="Open Sans"/>
          <w:b w:val="false"/>
          <w:bCs w:val="false"/>
          <w:i/>
          <w:iCs/>
          <w:color w:val="59595B"/>
          <w:sz w:val="18"/>
          <w:szCs w:val="18"/>
        </w:rPr>
        <w:t xml:space="preserve">Sources cited in this section: MIT Sloan Management (AI literacy); Anthropic (AI system design); the widely-used five-stage AI maturity model (consistent with Gartner and Google Cloud frameworks); U.S. NIST AI Risk Management Framework. Full references in the Appendix.</w:t>
      </w:r>
    </w:p>
    <w:p>
      <w:pPr>
        <w:pStyle w:val="Heading1"/>
        <w:keepNext/>
        <w:pageBreakBefore/>
        <w:spacing w:after="120" w:before="0" w:line="240"/>
      </w:pPr>
      <w:r>
        <w:rPr>
          <w:rFonts w:ascii="Open Sans" w:cs="Open Sans" w:eastAsia="Open Sans" w:hAnsi="Open Sans"/>
          <w:color w:val="FFFFFF"/>
          <w:sz w:val="2"/>
          <w:szCs w:val="2"/>
        </w:rPr>
        <w:t xml:space="preserve">11  How AI Grows Brandywine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11  How AI Grows Brandywine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engine runs three motions that mirror the pipeline: source (find and qualify more infill land with AI parcel and feasibility intelligence), entitle and build (compress approvals and run constrained sites leaner with document automation, timeline modeling, construction-ops AI, and a knowledge graph), and sell and partner (absorb homes with a 24/7 buyer assistant and answer-engine search, and keep the land, city, and capital relationships full). It supports the human relationship layer — it does not replace it.</w:t>
      </w:r>
    </w:p>
    <w:p>
      <w:pPr>
        <w:spacing w:after="0" w:before="160"/>
      </w:pPr>
      <w:r>
        <w:t xml:space="preserve"/>
      </w:r>
    </w:p>
    <w:p>
      <w:pPr>
        <w:spacing w:after="80" w:before="120"/>
        <w:jc w:val="center"/>
      </w:pPr>
      <w:r>
        <w:drawing>
          <wp:inline distT="0" distB="0" distL="0" distR="0">
            <wp:extent cx="5715000" cy="3552825"/>
            <wp:effectExtent t="0" r="0" b="0" l="0"/>
            <wp:docPr id="1" name="Brandywine AI Engine" descr="Brandywine AI Engine" title="Brandywine AI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5282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10.0 — The Engine: Source, Entitle &amp; Build, Sell &amp; Partner</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44"/>
        <w:gridCol w:w="2271"/>
        <w:gridCol w:w="2726"/>
        <w:gridCol w:w="1453"/>
        <w:gridCol w:w="1366"/>
      </w:tblGrid>
      <w:tr>
        <w:trPr>
          <w:cantSplit/>
          <w:tblHeader/>
        </w:trPr>
        <w:tc>
          <w:tcPr>
            <w:tcW w:type="dxa" w:w="154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Motion</w:t>
            </w:r>
          </w:p>
        </w:tc>
        <w:tc>
          <w:tcPr>
            <w:tcW w:type="dxa" w:w="227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Play</w:t>
            </w:r>
          </w:p>
        </w:tc>
        <w:tc>
          <w:tcPr>
            <w:tcW w:type="dxa" w:w="272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Does</w:t>
            </w:r>
          </w:p>
        </w:tc>
        <w:tc>
          <w:tcPr>
            <w:tcW w:type="dxa" w:w="145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Metric</w:t>
            </w:r>
          </w:p>
        </w:tc>
        <w:tc>
          <w:tcPr>
            <w:tcW w:type="dxa" w:w="136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r>
      <w:tr>
        <w:trPr>
          <w:cantSplit/>
        </w:trPr>
        <w:tc>
          <w:tcPr>
            <w:tcW w:type="dxa" w:w="15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Source</w:t>
            </w:r>
          </w:p>
        </w:tc>
        <w:tc>
          <w:tcPr>
            <w:tcW w:type="dxa" w:w="227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Land + feasibility intelligence</w:t>
            </w:r>
          </w:p>
        </w:tc>
        <w:tc>
          <w:tcPr>
            <w:tcW w:type="dxa" w:w="272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Scan SoCal infill parcels; estimate yield + feasibility in minutes</w:t>
            </w:r>
          </w:p>
        </w:tc>
        <w:tc>
          <w:tcPr>
            <w:tcW w:type="dxa" w:w="145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Parcels screened</w:t>
            </w:r>
          </w:p>
        </w:tc>
        <w:tc>
          <w:tcPr>
            <w:tcW w:type="dxa" w:w="136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5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Source</w:t>
            </w:r>
          </w:p>
        </w:tc>
        <w:tc>
          <w:tcPr>
            <w:tcW w:type="dxa" w:w="227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Parcel + owner targeting</w:t>
            </w:r>
          </w:p>
        </w:tc>
        <w:tc>
          <w:tcPr>
            <w:tcW w:type="dxa" w:w="272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Surface off-market sites and landowners; prioritize assemblage</w:t>
            </w:r>
          </w:p>
        </w:tc>
        <w:tc>
          <w:tcPr>
            <w:tcW w:type="dxa" w:w="145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Qualified sites</w:t>
            </w:r>
          </w:p>
        </w:tc>
        <w:tc>
          <w:tcPr>
            <w:tcW w:type="dxa" w:w="136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Lead Gen</w:t>
            </w:r>
          </w:p>
        </w:tc>
      </w:tr>
      <w:tr>
        <w:trPr>
          <w:cantSplit/>
        </w:trPr>
        <w:tc>
          <w:tcPr>
            <w:tcW w:type="dxa" w:w="15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Source</w:t>
            </w:r>
          </w:p>
        </w:tc>
        <w:tc>
          <w:tcPr>
            <w:tcW w:type="dxa" w:w="227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By-right path scoring</w:t>
            </w:r>
          </w:p>
        </w:tc>
        <w:tc>
          <w:tcPr>
            <w:tcW w:type="dxa" w:w="272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Auto-classify SB 9 / SB 35 / AB 2011 / density-bonus eligibility</w:t>
            </w:r>
          </w:p>
        </w:tc>
        <w:tc>
          <w:tcPr>
            <w:tcW w:type="dxa" w:w="145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By-right deals found</w:t>
            </w:r>
          </w:p>
        </w:tc>
        <w:tc>
          <w:tcPr>
            <w:tcW w:type="dxa" w:w="136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5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Source</w:t>
            </w:r>
          </w:p>
        </w:tc>
        <w:tc>
          <w:tcPr>
            <w:tcW w:type="dxa" w:w="227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Feasibility underwriting review</w:t>
            </w:r>
          </w:p>
        </w:tc>
        <w:tc>
          <w:tcPr>
            <w:tcW w:type="dxa" w:w="272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3-model AI council pressure-tests each deal before commit</w:t>
            </w:r>
          </w:p>
        </w:tc>
        <w:tc>
          <w:tcPr>
            <w:tcW w:type="dxa" w:w="145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Risk caught early</w:t>
            </w:r>
          </w:p>
        </w:tc>
        <w:tc>
          <w:tcPr>
            <w:tcW w:type="dxa" w:w="136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5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Entitle &amp; Build</w:t>
            </w:r>
          </w:p>
        </w:tc>
        <w:tc>
          <w:tcPr>
            <w:tcW w:type="dxa" w:w="227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Entitlement document intelligence</w:t>
            </w:r>
          </w:p>
        </w:tc>
        <w:tc>
          <w:tcPr>
            <w:tcW w:type="dxa" w:w="272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Draft and track CEQA filings, staff reports, correspondence</w:t>
            </w:r>
          </w:p>
        </w:tc>
        <w:tc>
          <w:tcPr>
            <w:tcW w:type="dxa" w:w="145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Days to minutes</w:t>
            </w:r>
          </w:p>
        </w:tc>
        <w:tc>
          <w:tcPr>
            <w:tcW w:type="dxa" w:w="136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5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Entitle &amp; Build</w:t>
            </w:r>
          </w:p>
        </w:tc>
        <w:tc>
          <w:tcPr>
            <w:tcW w:type="dxa" w:w="227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Approval-timeline modeling</w:t>
            </w:r>
          </w:p>
        </w:tc>
        <w:tc>
          <w:tcPr>
            <w:tcW w:type="dxa" w:w="272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City-by-city timelines + community-meeting materials</w:t>
            </w:r>
          </w:p>
        </w:tc>
        <w:tc>
          <w:tcPr>
            <w:tcW w:type="dxa" w:w="145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Faster approvals</w:t>
            </w:r>
          </w:p>
        </w:tc>
        <w:tc>
          <w:tcPr>
            <w:tcW w:type="dxa" w:w="136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5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Entitle &amp; Build</w:t>
            </w:r>
          </w:p>
        </w:tc>
        <w:tc>
          <w:tcPr>
            <w:tcW w:type="dxa" w:w="227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Construction-ops AI</w:t>
            </w:r>
          </w:p>
        </w:tc>
        <w:tc>
          <w:tcPr>
            <w:tcW w:type="dxa" w:w="272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Schedule, budget-variance, and change-order analysis</w:t>
            </w:r>
          </w:p>
        </w:tc>
        <w:tc>
          <w:tcPr>
            <w:tcW w:type="dxa" w:w="145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Margin protected</w:t>
            </w:r>
          </w:p>
        </w:tc>
        <w:tc>
          <w:tcPr>
            <w:tcW w:type="dxa" w:w="136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5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Entitle &amp; Build</w:t>
            </w:r>
          </w:p>
        </w:tc>
        <w:tc>
          <w:tcPr>
            <w:tcW w:type="dxa" w:w="227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Institutional-knowledge graph</w:t>
            </w:r>
          </w:p>
        </w:tc>
        <w:tc>
          <w:tcPr>
            <w:tcW w:type="dxa" w:w="272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32 years of playbooks and city history, queryable</w:t>
            </w:r>
          </w:p>
        </w:tc>
        <w:tc>
          <w:tcPr>
            <w:tcW w:type="dxa" w:w="145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Lean team scales</w:t>
            </w:r>
          </w:p>
        </w:tc>
        <w:tc>
          <w:tcPr>
            <w:tcW w:type="dxa" w:w="136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5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Sell &amp; Partner</w:t>
            </w:r>
          </w:p>
        </w:tc>
        <w:tc>
          <w:tcPr>
            <w:tcW w:type="dxa" w:w="227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24/7 AI buyer assistant</w:t>
            </w:r>
          </w:p>
        </w:tc>
        <w:tc>
          <w:tcPr>
            <w:tcW w:type="dxa" w:w="272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Answer plans / price / availability; book tours; catch leads</w:t>
            </w:r>
          </w:p>
        </w:tc>
        <w:tc>
          <w:tcPr>
            <w:tcW w:type="dxa" w:w="145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Absorption pace</w:t>
            </w:r>
          </w:p>
        </w:tc>
        <w:tc>
          <w:tcPr>
            <w:tcW w:type="dxa" w:w="136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5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Sell &amp; Partner</w:t>
            </w:r>
          </w:p>
        </w:tc>
        <w:tc>
          <w:tcPr>
            <w:tcW w:type="dxa" w:w="227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Community + answer-engine search</w:t>
            </w:r>
          </w:p>
        </w:tc>
        <w:tc>
          <w:tcPr>
            <w:tcW w:type="dxa" w:w="272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AI-readable pages assistants cite; fix the crawler block</w:t>
            </w:r>
          </w:p>
        </w:tc>
        <w:tc>
          <w:tcPr>
            <w:tcW w:type="dxa" w:w="145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Cited visibility</w:t>
            </w:r>
          </w:p>
        </w:tc>
        <w:tc>
          <w:tcPr>
            <w:tcW w:type="dxa" w:w="136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15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Sell &amp; Partner</w:t>
            </w:r>
          </w:p>
        </w:tc>
        <w:tc>
          <w:tcPr>
            <w:tcW w:type="dxa" w:w="227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Landowner + city B2B presence</w:t>
            </w:r>
          </w:p>
        </w:tc>
        <w:tc>
          <w:tcPr>
            <w:tcW w:type="dxa" w:w="272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findable PPP and redevelopment story for partners</w:t>
            </w:r>
          </w:p>
        </w:tc>
        <w:tc>
          <w:tcPr>
            <w:tcW w:type="dxa" w:w="145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Inbound partners</w:t>
            </w:r>
          </w:p>
        </w:tc>
        <w:tc>
          <w:tcPr>
            <w:tcW w:type="dxa" w:w="136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15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Sell &amp; Partner</w:t>
            </w:r>
          </w:p>
        </w:tc>
        <w:tc>
          <w:tcPr>
            <w:tcW w:type="dxa" w:w="227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Capital + BTR targeting</w:t>
            </w:r>
          </w:p>
        </w:tc>
        <w:tc>
          <w:tcPr>
            <w:tcW w:type="dxa" w:w="272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Surface equity / BTR partners; investor-ready packets</w:t>
            </w:r>
          </w:p>
        </w:tc>
        <w:tc>
          <w:tcPr>
            <w:tcW w:type="dxa" w:w="145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Funded deals</w:t>
            </w:r>
          </w:p>
        </w:tc>
        <w:tc>
          <w:tcPr>
            <w:tcW w:type="dxa" w:w="136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Lead Gen</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A1A2E"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A1A2E"/>
                <w:sz w:val="22"/>
                <w:szCs w:val="22"/>
              </w:rPr>
              <w:t xml:space="preserve">The Honest Boundary</w:t>
            </w:r>
          </w:p>
          <w:p>
            <w:pPr>
              <w:keepNext/>
              <w:keepLines/>
              <w:spacing w:after="60" w:before="40" w:line="300"/>
            </w:pPr>
            <w:r>
              <w:rPr>
                <w:rFonts w:ascii="Open Sans" w:cs="Open Sans" w:eastAsia="Open Sans" w:hAnsi="Open Sans"/>
                <w:color w:val="59595B"/>
                <w:sz w:val="20"/>
                <w:szCs w:val="20"/>
              </w:rPr>
              <w:t xml:space="preserve">AI augments the land team, the entitlement experts, the construction managers, and the sales office — it does not replace the relationships with cities, landowners, and capital partners that 32 years built.</w:t>
            </w:r>
          </w:p>
          <w:p>
            <w:pPr>
              <w:keepNext/>
              <w:keepLines/>
              <w:spacing w:after="60" w:before="40" w:line="300"/>
            </w:pPr>
            <w:r>
              <w:rPr>
                <w:rFonts w:ascii="Open Sans" w:cs="Open Sans" w:eastAsia="Open Sans" w:hAnsi="Open Sans"/>
                <w:color w:val="59595B"/>
                <w:sz w:val="20"/>
                <w:szCs w:val="20"/>
              </w:rPr>
              <w:t xml:space="preserve">AI surfaces the parcel, drafts the filing, and answers the buyer at 2 a.m.; people still negotiate the deal, win the council vote, and build the home.</w:t>
            </w:r>
          </w:p>
          <w:p>
            <w:pPr>
              <w:keepNext w:val="false"/>
              <w:keepLines/>
              <w:spacing w:after="60" w:before="40" w:line="300"/>
            </w:pPr>
            <w:r>
              <w:rPr>
                <w:rFonts w:ascii="Open Sans" w:cs="Open Sans" w:eastAsia="Open Sans" w:hAnsi="Open Sans"/>
                <w:color w:val="59595B"/>
                <w:sz w:val="20"/>
                <w:szCs w:val="20"/>
              </w:rPr>
              <w:t xml:space="preserve">This is not broad, "shotgun" marketing — Brandywine already knows the kind of land and the kind of partner it wants. The value is depth, speed, and timing on a known target set, not volume.</w:t>
            </w:r>
          </w:p>
        </w:tc>
      </w:tr>
    </w:tbl>
    <w:p>
      <w:pPr>
        <w:pStyle w:val="Heading1"/>
        <w:keepNext/>
        <w:pageBreakBefore/>
        <w:spacing w:after="120" w:before="0" w:line="240"/>
      </w:pPr>
      <w:r>
        <w:rPr>
          <w:rFonts w:ascii="Open Sans" w:cs="Open Sans" w:eastAsia="Open Sans" w:hAnsi="Open Sans"/>
          <w:color w:val="FFFFFF"/>
          <w:sz w:val="2"/>
          <w:szCs w:val="2"/>
        </w:rPr>
        <w:t xml:space="preserve">12  Business Impact &amp; Service Investment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12  Business Impact &amp; Service Investment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model below is built from public and industry benchmarks because Brandywine’s internal numbers were not available for this draft. Every figure is estimated and conservative; the discovery questions in Section 15 replace them with real baselines. The logic holds across a wide range of inputs, because the levers — land sourced, entitlement time saved, margin protected, homes absorbed — are large relative to the program cost.</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AI as a Managed Investment — Not a Leap of Faith</w:t>
            </w:r>
          </w:p>
          <w:p>
            <w:pPr>
              <w:keepNext/>
              <w:keepLines/>
              <w:spacing w:after="60" w:before="40" w:line="300"/>
            </w:pPr>
            <w:r>
              <w:rPr>
                <w:rFonts w:ascii="Open Sans" w:cs="Open Sans" w:eastAsia="Open Sans" w:hAnsi="Open Sans"/>
                <w:color w:val="59595B"/>
                <w:sz w:val="20"/>
                <w:szCs w:val="20"/>
              </w:rPr>
              <w:t xml:space="preserve">The reason most AI spending disappoints is not the technology — it is the lack of measurement. Per McKinsey’s State of AI, the large majority of companies now use AI, but only a minority see a real profit impact; the difference is disciplined measurement, not bigger budgets.</w:t>
            </w:r>
          </w:p>
          <w:p>
            <w:pPr>
              <w:keepNext w:val="false"/>
              <w:keepLines/>
              <w:spacing w:after="60" w:before="40" w:line="300"/>
            </w:pPr>
            <w:r>
              <w:rPr>
                <w:rFonts w:ascii="Open Sans" w:cs="Open Sans" w:eastAsia="Open Sans" w:hAnsi="Open Sans"/>
                <w:color w:val="59595B"/>
                <w:sz w:val="20"/>
                <w:szCs w:val="20"/>
              </w:rPr>
              <w:t xml:space="preserve">Technijian runs every engagement with stage-gates: we track adoption, then operational improvement, then financial benefit against total cost — and if a pilot does not clear its cost at the gate, we stop and re-scope. Brandywine carries the upside, not blind risk.</w:t>
            </w:r>
          </w:p>
        </w:tc>
      </w:tr>
    </w:tbl>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Projected Lift (Estimated)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24"/>
        <w:gridCol w:w="2339"/>
        <w:gridCol w:w="2339"/>
        <w:gridCol w:w="1758"/>
      </w:tblGrid>
      <w:tr>
        <w:trPr>
          <w:cantSplit/>
          <w:tblHeader/>
        </w:trPr>
        <w:tc>
          <w:tcPr>
            <w:tcW w:type="dxa" w:w="292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Measure</w:t>
            </w:r>
          </w:p>
        </w:tc>
        <w:tc>
          <w:tcPr>
            <w:tcW w:type="dxa" w:w="233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Estimated Current</w:t>
            </w:r>
          </w:p>
        </w:tc>
        <w:tc>
          <w:tcPr>
            <w:tcW w:type="dxa" w:w="233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With the Program</w:t>
            </w:r>
          </w:p>
        </w:tc>
        <w:tc>
          <w:tcPr>
            <w:tcW w:type="dxa" w:w="175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Direction</w:t>
            </w:r>
          </w:p>
        </w:tc>
      </w:tr>
      <w:tr>
        <w:trPr>
          <w:cantSplit/>
        </w:trPr>
        <w:tc>
          <w:tcPr>
            <w:tcW w:type="dxa" w:w="29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Infill parcels screened / month</w:t>
            </w:r>
          </w:p>
        </w:tc>
        <w:tc>
          <w:tcPr>
            <w:tcW w:type="dxa" w:w="23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handful, by hand</w:t>
            </w:r>
          </w:p>
        </w:tc>
        <w:tc>
          <w:tcPr>
            <w:tcW w:type="dxa" w:w="23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Hundreds, AI-scored</w:t>
            </w:r>
          </w:p>
        </w:tc>
        <w:tc>
          <w:tcPr>
            <w:tcW w:type="dxa" w:w="175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Bigger pipeline</w:t>
            </w:r>
          </w:p>
        </w:tc>
      </w:tr>
      <w:tr>
        <w:trPr>
          <w:cantSplit/>
        </w:trPr>
        <w:tc>
          <w:tcPr>
            <w:tcW w:type="dxa" w:w="29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Entitlement document turnaround</w:t>
            </w:r>
          </w:p>
        </w:tc>
        <w:tc>
          <w:tcPr>
            <w:tcW w:type="dxa" w:w="23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Days of manual drafting</w:t>
            </w:r>
          </w:p>
        </w:tc>
        <w:tc>
          <w:tcPr>
            <w:tcW w:type="dxa" w:w="23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Minutes-to-draft, AI-assisted</w:t>
            </w:r>
          </w:p>
        </w:tc>
        <w:tc>
          <w:tcPr>
            <w:tcW w:type="dxa" w:w="175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Faster approvals</w:t>
            </w:r>
          </w:p>
        </w:tc>
      </w:tr>
      <w:tr>
        <w:trPr>
          <w:cantSplit/>
        </w:trPr>
        <w:tc>
          <w:tcPr>
            <w:tcW w:type="dxa" w:w="29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Entitlement timeline (qualifying infill)</w:t>
            </w:r>
          </w:p>
        </w:tc>
        <w:tc>
          <w:tcPr>
            <w:tcW w:type="dxa" w:w="23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Discretionary CEQA</w:t>
            </w:r>
          </w:p>
        </w:tc>
        <w:tc>
          <w:tcPr>
            <w:tcW w:type="dxa" w:w="23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By-right paths + AB 130 exemption</w:t>
            </w:r>
          </w:p>
        </w:tc>
        <w:tc>
          <w:tcPr>
            <w:tcW w:type="dxa" w:w="175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12-18 months faster*</w:t>
            </w:r>
          </w:p>
        </w:tc>
      </w:tr>
      <w:tr>
        <w:trPr>
          <w:cantSplit/>
        </w:trPr>
        <w:tc>
          <w:tcPr>
            <w:tcW w:type="dxa" w:w="29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Overnight buyer inquiries captured</w:t>
            </w:r>
          </w:p>
        </w:tc>
        <w:tc>
          <w:tcPr>
            <w:tcW w:type="dxa" w:w="23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Missed until morning</w:t>
            </w:r>
          </w:p>
        </w:tc>
        <w:tc>
          <w:tcPr>
            <w:tcW w:type="dxa" w:w="23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Answered + booked 24/7</w:t>
            </w:r>
          </w:p>
        </w:tc>
        <w:tc>
          <w:tcPr>
            <w:tcW w:type="dxa" w:w="175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More tours</w:t>
            </w:r>
          </w:p>
        </w:tc>
      </w:tr>
      <w:tr>
        <w:trPr>
          <w:cantSplit/>
        </w:trPr>
        <w:tc>
          <w:tcPr>
            <w:tcW w:type="dxa" w:w="29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Construction cost-variance visibility</w:t>
            </w:r>
          </w:p>
        </w:tc>
        <w:tc>
          <w:tcPr>
            <w:tcW w:type="dxa" w:w="23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Reactive</w:t>
            </w:r>
          </w:p>
        </w:tc>
        <w:tc>
          <w:tcPr>
            <w:tcW w:type="dxa" w:w="23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Predictive, per community</w:t>
            </w:r>
          </w:p>
        </w:tc>
        <w:tc>
          <w:tcPr>
            <w:tcW w:type="dxa" w:w="175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Margin protected</w:t>
            </w:r>
          </w:p>
        </w:tc>
      </w:tr>
      <w:tr>
        <w:trPr>
          <w:cantSplit/>
        </w:trPr>
        <w:tc>
          <w:tcPr>
            <w:tcW w:type="dxa" w:w="29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Institutional knowledge</w:t>
            </w:r>
          </w:p>
        </w:tc>
        <w:tc>
          <w:tcPr>
            <w:tcW w:type="dxa" w:w="23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 people’s heads</w:t>
            </w:r>
          </w:p>
        </w:tc>
        <w:tc>
          <w:tcPr>
            <w:tcW w:type="dxa" w:w="23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Queryable knowledge graph</w:t>
            </w:r>
          </w:p>
        </w:tc>
        <w:tc>
          <w:tcPr>
            <w:tcW w:type="dxa" w:w="175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Lean team scales</w:t>
            </w:r>
          </w:p>
        </w:tc>
      </w:tr>
    </w:tbl>
    <w:p>
      <w:pPr>
        <w:spacing w:after="0" w:before="40"/>
      </w:pPr>
      <w:r>
        <w:t xml:space="preserve"/>
      </w:r>
    </w:p>
    <w:p>
      <w:pPr>
        <w:spacing w:after="140" w:before="0" w:line="320"/>
        <w:jc w:val="both"/>
      </w:pPr>
      <w:r>
        <w:rPr>
          <w:rFonts w:ascii="Open Sans" w:cs="Open Sans" w:eastAsia="Open Sans" w:hAnsi="Open Sans"/>
          <w:b w:val="false"/>
          <w:bCs w:val="false"/>
          <w:i/>
          <w:iCs/>
          <w:color w:val="59595B"/>
          <w:sz w:val="18"/>
          <w:szCs w:val="18"/>
        </w:rPr>
        <w:t xml:space="preserve">* Per the Urban Land Institute on AB 130 / SB 131; applies to qualifying infill projects. All measures calibrate to Brandywine’s actuals in discovery.</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Year-1 Value at Stake (Illustrative, Conservative)</w:t>
      </w:r>
    </w:p>
    <w:p>
      <w:pPr>
        <w:spacing w:after="140" w:before="0" w:line="320"/>
        <w:jc w:val="both"/>
      </w:pPr>
      <w:r>
        <w:rPr>
          <w:rFonts w:ascii="Open Sans" w:cs="Open Sans" w:eastAsia="Open Sans" w:hAnsi="Open Sans"/>
          <w:b w:val="false"/>
          <w:bCs w:val="false"/>
          <w:i w:val="false"/>
          <w:iCs w:val="false"/>
          <w:color w:val="59595B"/>
          <w:sz w:val="22"/>
          <w:szCs w:val="22"/>
        </w:rPr>
        <w:t xml:space="preserve">For a homebuilder, the levers are large relative to the program. The table models three of them conservatively and deliberately excludes the biggest one — additional land sourced and entitled — because a single new infill community dwarfs the entire program. The ratio is modeled against the entry program, not the full engine.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3"/>
        <w:gridCol w:w="1985"/>
        <w:gridCol w:w="1985"/>
        <w:gridCol w:w="1987"/>
      </w:tblGrid>
      <w:tr>
        <w:trPr>
          <w:cantSplit/>
          <w:tblHeader/>
        </w:trPr>
        <w:tc>
          <w:tcPr>
            <w:tcW w:type="dxa" w:w="340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Value Lever</w:t>
            </w:r>
          </w:p>
        </w:tc>
        <w:tc>
          <w:tcPr>
            <w:tcW w:type="dxa" w:w="198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Conservative</w:t>
            </w:r>
          </w:p>
        </w:tc>
        <w:tc>
          <w:tcPr>
            <w:tcW w:type="dxa" w:w="198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Likely</w:t>
            </w:r>
          </w:p>
        </w:tc>
        <w:tc>
          <w:tcPr>
            <w:tcW w:type="dxa" w:w="198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Upside</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Carrying cost saved (faster entitlements)</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+$50,000</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+$110,000</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+$210,000</w:t>
            </w:r>
          </w:p>
        </w:tc>
      </w:tr>
      <w:tr>
        <w:trPr>
          <w:cantSplit/>
        </w:trPr>
        <w:tc>
          <w:tcPr>
            <w:tcW w:type="dxa" w:w="34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Absorption / incentive efficiency</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+$35,000</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+$80,000</w:t>
            </w:r>
          </w:p>
        </w:tc>
        <w:tc>
          <w:tcPr>
            <w:tcW w:type="dxa" w:w="19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+$150,000</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Construction cost-variance recovery</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+$25,000</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+$55,000</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+$100,000</w:t>
            </w:r>
          </w:p>
        </w:tc>
      </w:tr>
      <w:tr>
        <w:trPr>
          <w:cantSplit/>
        </w:trPr>
        <w:tc>
          <w:tcPr>
            <w:tcW w:type="dxa" w:w="34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Total annual value (excl. new land sourced)</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+$110,000</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+$245,000</w:t>
            </w:r>
          </w:p>
        </w:tc>
        <w:tc>
          <w:tcPr>
            <w:tcW w:type="dxa" w:w="19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+$460,000</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Entry-program investment (Y1)</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~$37,400</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~$37,400</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~$37,400</w:t>
            </w:r>
          </w:p>
        </w:tc>
      </w:tr>
      <w:tr>
        <w:trPr>
          <w:cantSplit/>
        </w:trPr>
        <w:tc>
          <w:tcPr>
            <w:tcW w:type="dxa" w:w="34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Modeled ROI vs. entry</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28A745"/>
                <w:sz w:val="20"/>
                <w:szCs w:val="20"/>
              </w:rPr>
              <w:t xml:space="preserve">~2.9x</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28A745"/>
                <w:sz w:val="20"/>
                <w:szCs w:val="20"/>
              </w:rPr>
              <w:t xml:space="preserve">~6.6x</w:t>
            </w:r>
          </w:p>
        </w:tc>
        <w:tc>
          <w:tcPr>
            <w:tcW w:type="dxa" w:w="19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28A745"/>
                <w:sz w:val="20"/>
                <w:szCs w:val="20"/>
              </w:rPr>
              <w:t xml:space="preserve">~12x</w:t>
            </w:r>
          </w:p>
        </w:tc>
      </w:tr>
    </w:tbl>
    <w:p>
      <w:pPr>
        <w:spacing w:after="0" w:before="60"/>
      </w:pPr>
      <w:r>
        <w:t xml:space="preserve"/>
      </w:r>
    </w:p>
    <w:p>
      <w:pPr>
        <w:spacing w:after="140" w:before="0" w:line="320"/>
        <w:jc w:val="both"/>
      </w:pPr>
      <w:r>
        <w:rPr>
          <w:rFonts w:ascii="Open Sans" w:cs="Open Sans" w:eastAsia="Open Sans" w:hAnsi="Open Sans"/>
          <w:b w:val="false"/>
          <w:bCs w:val="false"/>
          <w:i/>
          <w:iCs/>
          <w:color w:val="59595B"/>
          <w:sz w:val="18"/>
          <w:szCs w:val="18"/>
        </w:rPr>
        <w:t xml:space="preserve">Figures are illustrative and conservative, modeled on public benchmarks (e.g., the ~7.5% incentive norm and ULI’s 12-18 month entitlement estimate). Value is attributed to the program, not guaranteed, and the largest lever — new land sourced and entitled — is not counted in the ratio. All inputs calibrate to Brandywine’s actuals in discovery.</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The Entry Offer — The 90-Day AI Land &amp; Visibility Pilot</w:t>
      </w:r>
    </w:p>
    <w:p>
      <w:pPr>
        <w:spacing w:after="140" w:before="0" w:line="320"/>
        <w:jc w:val="both"/>
      </w:pPr>
      <w:r>
        <w:rPr>
          <w:rFonts w:ascii="Open Sans" w:cs="Open Sans" w:eastAsia="Open Sans" w:hAnsi="Open Sans"/>
          <w:b w:val="false"/>
          <w:bCs w:val="false"/>
          <w:i w:val="false"/>
          <w:iCs w:val="false"/>
          <w:color w:val="59595B"/>
          <w:sz w:val="22"/>
          <w:szCs w:val="22"/>
        </w:rPr>
        <w:t xml:space="preserve">Start with one clearly-scoped, fixed-price program — not an open-ended engagement. The pilot turns on AI land and account intelligence, fixes the crawler block, and stands up the AI-search and partner-facing presence, and proves the lift before any larger build is discussed. It is the headline ask — recurring quick-win services and a workshop, no large build — and pays for itself on the land and absorption levers alone. The custom build is the expansion, deliberately held for after the pilot proves 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50"/>
        <w:gridCol w:w="3560"/>
        <w:gridCol w:w="1424"/>
        <w:gridCol w:w="1426"/>
      </w:tblGrid>
      <w:tr>
        <w:trPr>
          <w:cantSplit/>
          <w:tblHeader/>
        </w:trPr>
        <w:tc>
          <w:tcPr>
            <w:tcW w:type="dxa" w:w="295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356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Scope</w:t>
            </w:r>
          </w:p>
        </w:tc>
        <w:tc>
          <w:tcPr>
            <w:tcW w:type="dxa" w:w="142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Monthly</w:t>
            </w:r>
          </w:p>
        </w:tc>
        <w:tc>
          <w:tcPr>
            <w:tcW w:type="dxa" w:w="142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Y1 Total</w:t>
            </w:r>
          </w:p>
        </w:tc>
      </w:tr>
      <w:tr>
        <w:trPr>
          <w:cantSplit/>
        </w:trPr>
        <w:tc>
          <w:tcPr>
            <w:tcW w:type="dxa" w:w="29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 Executive Workshop &amp; Readiness (one-time)</w:t>
            </w:r>
          </w:p>
        </w:tc>
        <w:tc>
          <w:tcPr>
            <w:tcW w:type="dxa" w:w="35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Leadership alignment and a prioritized AI roadmap</w:t>
            </w:r>
          </w:p>
        </w:tc>
        <w:tc>
          <w:tcPr>
            <w:tcW w:type="dxa" w:w="14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t>
            </w:r>
          </w:p>
        </w:tc>
        <w:tc>
          <w:tcPr>
            <w:tcW w:type="dxa" w:w="142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$5,000</w:t>
            </w:r>
          </w:p>
        </w:tc>
      </w:tr>
      <w:tr>
        <w:trPr>
          <w:cantSplit/>
        </w:trPr>
        <w:tc>
          <w:tcPr>
            <w:tcW w:type="dxa" w:w="29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 — Land &amp; Account Intelligence (Starter)</w:t>
            </w:r>
          </w:p>
        </w:tc>
        <w:tc>
          <w:tcPr>
            <w:tcW w:type="dxa" w:w="35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Monitor SoCal infill parcels, starts, permits; landowner, city, and capital targets</w:t>
            </w:r>
          </w:p>
        </w:tc>
        <w:tc>
          <w:tcPr>
            <w:tcW w:type="dxa" w:w="14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$1,499/mo</w:t>
            </w:r>
          </w:p>
        </w:tc>
        <w:tc>
          <w:tcPr>
            <w:tcW w:type="dxa" w:w="142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$17,988</w:t>
            </w:r>
          </w:p>
        </w:tc>
      </w:tr>
      <w:tr>
        <w:trPr>
          <w:cantSplit/>
        </w:trPr>
        <w:tc>
          <w:tcPr>
            <w:tcW w:type="dxa" w:w="29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 — Community + Answer-Engine Search (Tier 3 + AI Search Opt)</w:t>
            </w:r>
          </w:p>
        </w:tc>
        <w:tc>
          <w:tcPr>
            <w:tcW w:type="dxa" w:w="35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AI-readable community pages, the crawler fix, and the B2B partner presence</w:t>
            </w:r>
          </w:p>
        </w:tc>
        <w:tc>
          <w:tcPr>
            <w:tcW w:type="dxa" w:w="14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$1,200/mo</w:t>
            </w:r>
          </w:p>
        </w:tc>
        <w:tc>
          <w:tcPr>
            <w:tcW w:type="dxa" w:w="142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$14,400</w:t>
            </w:r>
          </w:p>
        </w:tc>
      </w:tr>
      <w:tr>
        <w:trPr>
          <w:cantSplit/>
        </w:trPr>
        <w:tc>
          <w:tcPr>
            <w:tcW w:type="dxa" w:w="29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THE 90-DAY PILOT — YEAR 1</w:t>
            </w:r>
          </w:p>
        </w:tc>
        <w:tc>
          <w:tcPr>
            <w:tcW w:type="dxa" w:w="35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~$2,699/mo + $5,000 one-time</w:t>
            </w:r>
          </w:p>
        </w:tc>
        <w:tc>
          <w:tcPr>
            <w:tcW w:type="dxa" w:w="14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
            </w:r>
          </w:p>
        </w:tc>
        <w:tc>
          <w:tcPr>
            <w:tcW w:type="dxa" w:w="142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~$37,400</w:t>
            </w:r>
          </w:p>
        </w:tc>
      </w:tr>
      <w:tr>
        <w:trPr>
          <w:cantSplit/>
        </w:trPr>
        <w:tc>
          <w:tcPr>
            <w:tcW w:type="dxa" w:w="29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 Fractional AI Advisor (Phase 2)</w:t>
            </w:r>
          </w:p>
        </w:tc>
        <w:tc>
          <w:tcPr>
            <w:tcW w:type="dxa" w:w="35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Program lead across the land tool, entitlement AI, and buyer assistant</w:t>
            </w:r>
          </w:p>
        </w:tc>
        <w:tc>
          <w:tcPr>
            <w:tcW w:type="dxa" w:w="14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$2,000/mo</w:t>
            </w:r>
          </w:p>
        </w:tc>
        <w:tc>
          <w:tcPr>
            <w:tcW w:type="dxa" w:w="142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$24,000</w:t>
            </w:r>
          </w:p>
        </w:tc>
      </w:tr>
      <w:tr>
        <w:trPr>
          <w:cantSplit/>
        </w:trPr>
        <w:tc>
          <w:tcPr>
            <w:tcW w:type="dxa" w:w="29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 — Custom AI Builds (Phase 2; estimated, confirmed at quote)</w:t>
            </w:r>
          </w:p>
        </w:tc>
        <w:tc>
          <w:tcPr>
            <w:tcW w:type="dxa" w:w="35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Land-feasibility tool, entitlement document-intelligence, 24/7 buyer assistant, knowledge graph</w:t>
            </w:r>
          </w:p>
        </w:tc>
        <w:tc>
          <w:tcPr>
            <w:tcW w:type="dxa" w:w="14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t>
            </w:r>
          </w:p>
        </w:tc>
        <w:tc>
          <w:tcPr>
            <w:tcW w:type="dxa" w:w="142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$75,000</w:t>
            </w:r>
          </w:p>
        </w:tc>
      </w:tr>
      <w:tr>
        <w:trPr>
          <w:cantSplit/>
        </w:trPr>
        <w:tc>
          <w:tcPr>
            <w:tcW w:type="dxa" w:w="29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 — Managed App Services (Phase 2)</w:t>
            </w:r>
          </w:p>
        </w:tc>
        <w:tc>
          <w:tcPr>
            <w:tcW w:type="dxa" w:w="35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Run and maintain the builds</w:t>
            </w:r>
          </w:p>
        </w:tc>
        <w:tc>
          <w:tcPr>
            <w:tcW w:type="dxa" w:w="14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$800/mo</w:t>
            </w:r>
          </w:p>
        </w:tc>
        <w:tc>
          <w:tcPr>
            <w:tcW w:type="dxa" w:w="142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$9,600</w:t>
            </w:r>
          </w:p>
        </w:tc>
      </w:tr>
      <w:tr>
        <w:trPr>
          <w:cantSplit/>
        </w:trPr>
        <w:tc>
          <w:tcPr>
            <w:tcW w:type="dxa" w:w="29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FULL ENGINE (entry + expansion)</w:t>
            </w:r>
          </w:p>
        </w:tc>
        <w:tc>
          <w:tcPr>
            <w:tcW w:type="dxa" w:w="35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Recurring $5,499/mo + builds</w:t>
            </w:r>
          </w:p>
        </w:tc>
        <w:tc>
          <w:tcPr>
            <w:tcW w:type="dxa" w:w="14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
            </w:r>
          </w:p>
        </w:tc>
        <w:tc>
          <w:tcPr>
            <w:tcW w:type="dxa" w:w="142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~$146,000</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Pilot Bar — and Our Commitment</w:t>
            </w:r>
          </w:p>
          <w:p>
            <w:pPr>
              <w:keepNext/>
              <w:keepLines/>
              <w:spacing w:after="60" w:before="40" w:line="300"/>
            </w:pPr>
            <w:r>
              <w:rPr>
                <w:rFonts w:ascii="Open Sans" w:cs="Open Sans" w:eastAsia="Open Sans" w:hAnsi="Open Sans"/>
                <w:color w:val="59595B"/>
                <w:sz w:val="20"/>
                <w:szCs w:val="20"/>
              </w:rPr>
              <w:t xml:space="preserve">Success metric: within 90 days, AI land-and-account intelligence is live and delivering a scored, prioritized pipeline of Southern California infill parcels and partner targets the team would not have surfaced by hand, AND Brandywine is readable and cited by AI search — the crawler block is fixed and the answer-engine and partner-facing presence are live.</w:t>
            </w:r>
          </w:p>
          <w:p>
            <w:pPr>
              <w:keepNext w:val="false"/>
              <w:keepLines/>
              <w:spacing w:after="60" w:before="40" w:line="300"/>
            </w:pPr>
            <w:r>
              <w:rPr>
                <w:rFonts w:ascii="Open Sans" w:cs="Open Sans" w:eastAsia="Open Sans" w:hAnsi="Open Sans"/>
                <w:color w:val="59595B"/>
                <w:sz w:val="20"/>
                <w:szCs w:val="20"/>
              </w:rPr>
              <w:t xml:space="preserve">Our commitment: the pilot is month-to-month after the initial term — no lock-in. If it has not hit the metric above by day 90, you are under no obligation to continue, and we will tell you honestly whether it is worth continuing. You carry the upside, not the risk.</w:t>
            </w:r>
          </w:p>
        </w:tc>
      </w:tr>
    </w:tbl>
    <w:p>
      <w:pPr>
        <w:spacing w:after="0" w:before="60"/>
      </w:pPr>
      <w:r>
        <w:t xml:space="preserve"/>
      </w:r>
    </w:p>
    <w:p>
      <w:pPr>
        <w:spacing w:after="140" w:before="0" w:line="320"/>
        <w:jc w:val="both"/>
      </w:pPr>
      <w:r>
        <w:rPr>
          <w:rFonts w:ascii="Open Sans" w:cs="Open Sans" w:eastAsia="Open Sans" w:hAnsi="Open Sans"/>
          <w:b w:val="false"/>
          <w:bCs w:val="false"/>
          <w:i/>
          <w:iCs/>
          <w:color w:val="59595B"/>
          <w:sz w:val="18"/>
          <w:szCs w:val="18"/>
        </w:rPr>
        <w:t xml:space="preserve">Productized rates are current published figures (My SEO tiers and add-ons; My AI Lead Gen Starter). My AI and My Dev are estimated and confirmed at quote. A blended, US-led rate is shown; project and custom work is quoted against a transparent labor-rate card with no surprises. Scale is the third step: roll the tooling across every active and future community and the build-to-rent arm — the one-time build amortizes across sites.</w:t>
      </w:r>
    </w:p>
    <w:p>
      <w:pPr>
        <w:pStyle w:val="Heading1"/>
        <w:keepNext/>
        <w:pageBreakBefore/>
        <w:spacing w:after="120" w:before="0" w:line="240"/>
      </w:pPr>
      <w:r>
        <w:rPr>
          <w:rFonts w:ascii="Open Sans" w:cs="Open Sans" w:eastAsia="Open Sans" w:hAnsi="Open Sans"/>
          <w:color w:val="FFFFFF"/>
          <w:sz w:val="2"/>
          <w:szCs w:val="2"/>
        </w:rPr>
        <w:t xml:space="preserve">13  Implementation Roadmap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13  Implementation Roadmap</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roadmap runs on a 90 / 180 / 365-day cadence: turn on the foundation and the intelligence first, then build the pipeline tools, then scale across communities. The cheapest, highest-visibility wins land in the first ninety days; the bigger builds get realistic runway and only start after the entry proves out.</w:t>
      </w:r>
    </w:p>
    <w:p>
      <w:pPr>
        <w:spacing w:after="0" w:before="200"/>
      </w:pPr>
      <w:r>
        <w:t xml:space="preserve"/>
      </w:r>
    </w:p>
    <w:p>
      <w:pPr>
        <w:spacing w:after="80" w:before="120"/>
        <w:jc w:val="center"/>
      </w:pPr>
      <w:r>
        <w:drawing>
          <wp:inline distT="0" distB="0" distL="0" distR="0">
            <wp:extent cx="5715000" cy="2486025"/>
            <wp:effectExtent t="0" r="0" b="0" l="0"/>
            <wp:docPr id="1" name="Brandywine 90-180-365 Day Roadmap" descr="Brandywine 90-180-365 Day Roadmap" title="Brandywine 90-180-365 Day Road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48602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12.0 — Brandywine Growth Program: 90 / 180 / 365-Day Roadmap</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Phase 1 — Foundation (Days 1–90)</w:t>
      </w:r>
    </w:p>
    <w:p>
      <w:pPr>
        <w:spacing w:after="140" w:before="0" w:line="320"/>
        <w:jc w:val="both"/>
      </w:pPr>
      <w:r>
        <w:rPr>
          <w:rFonts w:ascii="Open Sans" w:cs="Open Sans" w:eastAsia="Open Sans" w:hAnsi="Open Sans"/>
          <w:b w:val="false"/>
          <w:bCs w:val="false"/>
          <w:i w:val="false"/>
          <w:iCs w:val="false"/>
          <w:color w:val="59595B"/>
          <w:sz w:val="22"/>
          <w:szCs w:val="22"/>
        </w:rPr>
        <w:t xml:space="preserve">Align leadership, turn on intelligence, and fix the front door.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1.1 — Workshop + Land &amp; Account Intelligence</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Run the executive AI workshop and a prioritized roadmap; turn on parcel, owner, city, and capital monitoring for Southern California infill.</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1.2 — Community + Answer-Engine Search</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Fix the crawler block, make community pages AI-readable, and stand up the landowner and city-facing B2B presence.</w:t>
            </w:r>
          </w:p>
        </w:tc>
      </w:tr>
    </w:tbl>
    <w:p>
      <w:pPr>
        <w:spacing w:after="0" w:before="160"/>
      </w:pPr>
      <w:r>
        <w:t xml:space="preserve"/>
      </w:r>
    </w:p>
    <w:p>
      <w:pPr>
        <w:pStyle w:val="Heading2"/>
        <w:keepNext/>
        <w:keepLines/>
        <w:spacing w:after="120" w:before="280"/>
      </w:pPr>
      <w:r>
        <w:rPr>
          <w:rFonts w:ascii="Open Sans" w:cs="Open Sans" w:eastAsia="Open Sans" w:hAnsi="Open Sans"/>
          <w:b/>
          <w:bCs/>
          <w:color w:val="1EAAC8"/>
          <w:sz w:val="26"/>
          <w:szCs w:val="26"/>
        </w:rPr>
        <w:t xml:space="preserve">Phase 2 — Pipeline (Days 91–180)</w:t>
      </w:r>
    </w:p>
    <w:p>
      <w:pPr>
        <w:spacing w:after="140" w:before="0" w:line="320"/>
        <w:jc w:val="both"/>
      </w:pPr>
      <w:r>
        <w:rPr>
          <w:rFonts w:ascii="Open Sans" w:cs="Open Sans" w:eastAsia="Open Sans" w:hAnsi="Open Sans"/>
          <w:b w:val="false"/>
          <w:bCs w:val="false"/>
          <w:i w:val="false"/>
          <w:iCs w:val="false"/>
          <w:color w:val="59595B"/>
          <w:sz w:val="22"/>
          <w:szCs w:val="22"/>
        </w:rPr>
        <w:t xml:space="preserve">Build the supply-side tools that compress sourcing and entitlements.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2.1 — Land-Feasibility Tool</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Launch the AI parcel tool: yield estimates and by-right path scoring (SB 9 / SB 35 / AB 2011 / density bonus) across SoCal infill sites.</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2.2 — Entitlement Document Intelligence</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Bring CEQA-filing and staff-report drafting into production, with city-by-city approval-timeline modeling.</w:t>
            </w:r>
          </w:p>
        </w:tc>
      </w:tr>
    </w:tbl>
    <w:p>
      <w:pPr>
        <w:spacing w:after="0" w:before="160"/>
      </w:pPr>
      <w:r>
        <w:t xml:space="preserve"/>
      </w:r>
    </w:p>
    <w:p>
      <w:pPr>
        <w:pStyle w:val="Heading2"/>
        <w:keepNext/>
        <w:keepLines/>
        <w:spacing w:after="120" w:before="280"/>
      </w:pPr>
      <w:r>
        <w:rPr>
          <w:rFonts w:ascii="Open Sans" w:cs="Open Sans" w:eastAsia="Open Sans" w:hAnsi="Open Sans"/>
          <w:b/>
          <w:bCs/>
          <w:color w:val="F67D4B"/>
          <w:sz w:val="26"/>
          <w:szCs w:val="26"/>
        </w:rPr>
        <w:t xml:space="preserve">Phase 3 — Scale (Days 181–365)</w:t>
      </w:r>
    </w:p>
    <w:p>
      <w:pPr>
        <w:spacing w:after="140" w:before="0" w:line="320"/>
        <w:jc w:val="both"/>
      </w:pPr>
      <w:r>
        <w:rPr>
          <w:rFonts w:ascii="Open Sans" w:cs="Open Sans" w:eastAsia="Open Sans" w:hAnsi="Open Sans"/>
          <w:b w:val="false"/>
          <w:bCs w:val="false"/>
          <w:i w:val="false"/>
          <w:iCs w:val="false"/>
          <w:color w:val="59595B"/>
          <w:sz w:val="22"/>
          <w:szCs w:val="22"/>
        </w:rPr>
        <w:t xml:space="preserve">Add absorption and operations, then roll across communities.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3.1 — Buyer Assistant + Knowledge Graph</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Launch the 24/7 AI buyer assistant across communities and the institutional-knowledge graph for the team.</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3.2 — Construction-Ops AI + ROI Dashboard</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Bring schedule and budget-variance AI into production and deliver the ROI dashboard against the Section 15 baselines.</w:t>
            </w:r>
          </w:p>
        </w:tc>
      </w:tr>
    </w:tbl>
    <w:p>
      <w:pPr>
        <w:pStyle w:val="Heading1"/>
        <w:keepNext/>
        <w:pageBreakBefore/>
        <w:spacing w:after="120" w:before="0" w:line="240"/>
      </w:pPr>
      <w:r>
        <w:rPr>
          <w:rFonts w:ascii="Open Sans" w:cs="Open Sans" w:eastAsia="Open Sans" w:hAnsi="Open Sans"/>
          <w:color w:val="FFFFFF"/>
          <w:sz w:val="2"/>
          <w:szCs w:val="2"/>
        </w:rPr>
        <w:t xml:space="preserve">14  Quick Wins — Start This Week</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14  Quick Wins — Start This Week</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Five actions Brandywine can take immediately — before any engagement. Each creates value this week and leads naturally into the larger program.</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1 — Unblock the Crawler so AI Search Can Read You</w:t>
            </w:r>
          </w:p>
          <w:p>
            <w:pPr>
              <w:keepNext w:val="false"/>
              <w:keepLines/>
              <w:spacing w:after="60" w:before="40" w:line="300"/>
            </w:pPr>
            <w:r>
              <w:rPr>
                <w:rFonts w:ascii="Open Sans" w:cs="Open Sans" w:eastAsia="Open Sans" w:hAnsi="Open Sans"/>
                <w:color w:val="59595B"/>
                <w:sz w:val="20"/>
                <w:szCs w:val="20"/>
              </w:rPr>
              <w:t xml:space="preserve">Your site returns a 403 to non-browser fetchers, which can block Google and AI assistants like ChatGPT and Perplexity from reading it. You are already tracking ChatGPT referral traffic — do not block the crawler that feeds it. This is a same-week server-config fix with outsized visibility payoff.</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2 — Run a Free Nexus Assess</w:t>
            </w:r>
          </w:p>
          <w:p>
            <w:pPr>
              <w:keepNext w:val="false"/>
              <w:keepLines/>
              <w:spacing w:after="60" w:before="40" w:line="300"/>
            </w:pPr>
            <w:r>
              <w:rPr>
                <w:rFonts w:ascii="Open Sans" w:cs="Open Sans" w:eastAsia="Open Sans" w:hAnsi="Open Sans"/>
                <w:color w:val="59595B"/>
                <w:sz w:val="20"/>
                <w:szCs w:val="20"/>
              </w:rPr>
              <w:t xml:space="preserve">Technijian will run a no-cost Nexus Assess — an internal and external vulnerability scan plus a Microsoft 365 review, delivered as a prioritized remediation roadmap. It is a concrete first engagement that maps to your compliance posture, with no commitment.</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3 — Stand Up a "For Land Sellers &amp; City Partners" Page</w:t>
            </w:r>
          </w:p>
          <w:p>
            <w:pPr>
              <w:keepNext w:val="false"/>
              <w:keepLines/>
              <w:spacing w:after="60" w:before="40" w:line="300"/>
            </w:pPr>
            <w:r>
              <w:rPr>
                <w:rFonts w:ascii="Open Sans" w:cs="Open Sans" w:eastAsia="Open Sans" w:hAnsi="Open Sans"/>
                <w:color w:val="59595B"/>
                <w:sz w:val="20"/>
                <w:szCs w:val="20"/>
              </w:rPr>
              <w:t xml:space="preserve">Create a single page that tells the public-private-partnership and adaptive-reuse story — the Baldwin Park kind of project — so the landowners and cities that gate your pipeline can find and vet you. Today that story lives mostly in people’s heads, not where a partner searches.</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4 — Add AI-Readable Detail to Every Community Page</w:t>
            </w:r>
          </w:p>
          <w:p>
            <w:pPr>
              <w:keepNext w:val="false"/>
              <w:keepLines/>
              <w:spacing w:after="60" w:before="40" w:line="300"/>
            </w:pPr>
            <w:r>
              <w:rPr>
                <w:rFonts w:ascii="Open Sans" w:cs="Open Sans" w:eastAsia="Open Sans" w:hAnsi="Open Sans"/>
                <w:color w:val="59595B"/>
                <w:sz w:val="20"/>
                <w:szCs w:val="20"/>
              </w:rPr>
              <w:t xml:space="preserve">Put structured pricing, floor plans, availability, and an FAQ in machine-readable form on each community page so AI assistants cite Brandywine when a buyer asks. You already have the content and a real-time availability tool — this makes it visible to answer engines.</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5 — Document One City’s Entitlement Playbook</w:t>
            </w:r>
          </w:p>
          <w:p>
            <w:pPr>
              <w:keepNext w:val="false"/>
              <w:keepLines/>
              <w:spacing w:after="60" w:before="40" w:line="300"/>
            </w:pPr>
            <w:r>
              <w:rPr>
                <w:rFonts w:ascii="Open Sans" w:cs="Open Sans" w:eastAsia="Open Sans" w:hAnsi="Open Sans"/>
                <w:color w:val="59595B"/>
                <w:sz w:val="20"/>
                <w:szCs w:val="20"/>
              </w:rPr>
              <w:t xml:space="preserve">Write down the steps, timelines, and contacts for one city’s approval process. It is useful on its own and becomes the first seed of an institutional-knowledge graph — turning 32 years of know-how into something a lean team can query.</w:t>
            </w:r>
          </w:p>
        </w:tc>
      </w:tr>
    </w:tbl>
    <w:p>
      <w:pPr>
        <w:pStyle w:val="Heading1"/>
        <w:keepNext/>
        <w:pageBreakBefore/>
        <w:spacing w:after="120" w:before="0" w:line="240"/>
      </w:pPr>
      <w:r>
        <w:rPr>
          <w:rFonts w:ascii="Open Sans" w:cs="Open Sans" w:eastAsia="Open Sans" w:hAnsi="Open Sans"/>
          <w:color w:val="FFFFFF"/>
          <w:sz w:val="2"/>
          <w:szCs w:val="2"/>
        </w:rPr>
        <w:t xml:space="preserve">15  Questions to Calibrate This Plan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A1A2E"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A1A2E"/>
                <w:sz w:val="34"/>
                <w:szCs w:val="34"/>
              </w:rPr>
              <w:t xml:space="preserve">15  Questions to Calibrate This Plan</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blueprint was built from public information. The numbers in Sections 12 and 13 are deliberately conservative estimates — a short discovery call replaces them with Brandywine’s real baselines and sharpens the whole program. These are the questions that move the model the most:</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4118"/>
        <w:gridCol w:w="2996"/>
      </w:tblGrid>
      <w:tr>
        <w:trPr>
          <w:cantSplit/>
          <w:tblHeader/>
        </w:trPr>
        <w:tc>
          <w:tcPr>
            <w:tcW w:type="dxa" w:w="224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Topic</w:t>
            </w:r>
          </w:p>
        </w:tc>
        <w:tc>
          <w:tcPr>
            <w:tcW w:type="dxa" w:w="411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We’d Confirm</w:t>
            </w:r>
          </w:p>
        </w:tc>
        <w:tc>
          <w:tcPr>
            <w:tcW w:type="dxa" w:w="299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Why It Matters</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Deal volume + goal</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Communities closed per year and how many you want to run concurrently</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Sets the scale of the land and entitlement engine</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Land sourcing</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Where deals come from today (brokers, off-market, relationships) and the sourcing-to-close funnel</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Calibrates the AI land-intelligence work</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Entitlement timeline</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Average approval time, which cities, and the biggest entitlement pain points</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Sizes the document-intelligence and timeline gains</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Construction</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Cost-variance and schedule experience on constrained infill sites</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Scopes the construction-ops AI</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Absorption</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Current absorption pace and incentive load vs. the ~7.5% norm; the buyer-marketing and CRM stack</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Sizes the buyer-assistant and search plays</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Capital</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Equity partners and lender relationships, and the funding cadence</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Shapes the capital-partner and deal-packet work</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For-sale vs. BTR</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growth split between for-sale and build-to-rent</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Weights the program toward the right pools</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Systems</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Current CRM, the real-time-availability tool, and any land or proptech systems</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Defines the build and integration surface</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EAAC8"/>
                <w:sz w:val="22"/>
                <w:szCs w:val="22"/>
              </w:rPr>
              <w:t xml:space="preserve">How to Use This Section</w:t>
            </w:r>
          </w:p>
          <w:p>
            <w:pPr>
              <w:keepNext/>
              <w:keepLines/>
              <w:spacing w:after="60" w:before="40" w:line="300"/>
            </w:pPr>
            <w:r>
              <w:rPr>
                <w:rFonts w:ascii="Open Sans" w:cs="Open Sans" w:eastAsia="Open Sans" w:hAnsi="Open Sans"/>
                <w:color w:val="59595B"/>
                <w:sz w:val="20"/>
                <w:szCs w:val="20"/>
              </w:rPr>
              <w:t xml:space="preserve">None of these questions block starting — the Quick Wins and the Phase 1 foundation proceed regardless.</w:t>
            </w:r>
          </w:p>
          <w:p>
            <w:pPr>
              <w:keepNext/>
              <w:keepLines/>
              <w:spacing w:after="60" w:before="40" w:line="300"/>
            </w:pPr>
            <w:r>
              <w:rPr>
                <w:rFonts w:ascii="Open Sans" w:cs="Open Sans" w:eastAsia="Open Sans" w:hAnsi="Open Sans"/>
                <w:color w:val="59595B"/>
                <w:sz w:val="20"/>
                <w:szCs w:val="20"/>
              </w:rPr>
              <w:t xml:space="preserve">A single 30-minute call answers most of them and lets Technijian return a calibrated ROI model and a fixed-scope Statement of Work.</w:t>
            </w:r>
          </w:p>
          <w:p>
            <w:pPr>
              <w:keepNext w:val="false"/>
              <w:keepLines/>
              <w:spacing w:after="60" w:before="40" w:line="300"/>
            </w:pPr>
            <w:r>
              <w:rPr>
                <w:rFonts w:ascii="Open Sans" w:cs="Open Sans" w:eastAsia="Open Sans" w:hAnsi="Open Sans"/>
                <w:color w:val="59595B"/>
                <w:sz w:val="20"/>
                <w:szCs w:val="20"/>
              </w:rPr>
              <w:t xml:space="preserve">The goal is a plan built on Brandywine’s real numbers — not on our conservative estimates.</w:t>
            </w:r>
          </w:p>
        </w:tc>
      </w:tr>
    </w:tbl>
    <w:p>
      <w:pPr>
        <w:pStyle w:val="Heading1"/>
        <w:keepNext/>
        <w:pageBreakBefore/>
        <w:spacing w:after="120" w:before="0" w:line="240"/>
      </w:pPr>
      <w:r>
        <w:rPr>
          <w:rFonts w:ascii="Open Sans" w:cs="Open Sans" w:eastAsia="Open Sans" w:hAnsi="Open Sans"/>
          <w:color w:val="FFFFFF"/>
          <w:sz w:val="2"/>
          <w:szCs w:val="2"/>
        </w:rPr>
        <w:t xml:space="preserve">16  Questions We Usually Get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16  Questions We Usually Get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honest answers to the questions Brandywine leadership is most likely asking right now.</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10"/>
        <w:gridCol w:w="5850"/>
      </w:tblGrid>
      <w:tr>
        <w:trPr>
          <w:cantSplit/>
          <w:tblHeader/>
        </w:trPr>
        <w:tc>
          <w:tcPr>
            <w:tcW w:type="dxa" w:w="351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Question</w:t>
            </w:r>
          </w:p>
        </w:tc>
        <w:tc>
          <w:tcPr>
            <w:tcW w:type="dxa" w:w="585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Our Honest Answer</w:t>
            </w:r>
          </w:p>
        </w:tc>
      </w:tr>
      <w:tr>
        <w:trPr>
          <w:cantSplit/>
        </w:trPr>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We already have a web partner (P11) and an SEO blog. Why add Technijian?</w:t>
            </w:r>
          </w:p>
        </w:tc>
        <w:tc>
          <w:tcPr>
            <w:tcW w:type="dxa" w:w="58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Keep them — they built a solid, modern site. We add the layer they do not: AI-search optimization (answer-engine) that fixes the crawler block, the landowner and city-facing B2B presence, and the AI land intelligence and internal automation no web or SEO shop provides. We run alongside your partner, not over them.</w:t>
            </w:r>
          </w:p>
        </w:tc>
      </w:tr>
      <w:tr>
        <w:trPr>
          <w:cantSplit/>
        </w:trPr>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Isn’t AI mostly hype right now?</w:t>
            </w:r>
          </w:p>
        </w:tc>
        <w:tc>
          <w:tcPr>
            <w:tcW w:type="dxa" w:w="58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lot of it is. That is why this blueprint starts with simple, proven automations that pay back fast — parcel screening and document drafting — not autonomous "agents" running your business. We use the simplest tool that works, measure it, and only expand what earns its place. The national giants already run AI on land and sales; this is the same discipline, tuned for infill.</w:t>
            </w:r>
          </w:p>
        </w:tc>
      </w:tr>
      <w:tr>
        <w:trPr>
          <w:cantSplit/>
        </w:trPr>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Is our data — deal terms, capital relationships, feasibility numbers — safe?</w:t>
            </w:r>
          </w:p>
        </w:tc>
        <w:tc>
          <w:tcPr>
            <w:tcW w:type="dxa" w:w="58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Yes. Sensitive data never touches a public AI model; we deploy private, governed systems with human review on anything that goes to a city, a partner, or a buyer, led by a CISSP-certified team. Data governance is part of the free Nexus Assess in the Quick Wins.</w:t>
            </w:r>
          </w:p>
        </w:tc>
      </w:tr>
      <w:tr>
        <w:trPr>
          <w:cantSplit/>
        </w:trPr>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We’re a lean ~50-person team. Do we have the bandwidth to manage this?</w:t>
            </w:r>
          </w:p>
        </w:tc>
        <w:tc>
          <w:tcPr>
            <w:tcW w:type="dxa" w:w="58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point is the opposite — to give your team back hours, not add work. Technijian runs the build and the cadence; your involvement is a short monthly strategy session plus reviewing what we draft. The fractional model means no new hire to manage.</w:t>
            </w:r>
          </w:p>
        </w:tc>
      </w:tr>
      <w:tr>
        <w:trPr>
          <w:cantSplit/>
        </w:trPr>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What if it doesn’t work?</w:t>
            </w:r>
          </w:p>
        </w:tc>
        <w:tc>
          <w:tcPr>
            <w:tcW w:type="dxa" w:w="58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entry is a fixed-price 90-day pilot with a defined success metric (Section 12), month-to-month with no lock-in. If it has not hit the metric by day 90, you are under no obligation to continue — and we will tell you honestly whether it is worth it.</w:t>
            </w:r>
          </w:p>
        </w:tc>
      </w:tr>
      <w:tr>
        <w:trPr>
          <w:cantSplit/>
        </w:trPr>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What does it really cost?</w:t>
            </w:r>
          </w:p>
        </w:tc>
        <w:tc>
          <w:tcPr>
            <w:tcW w:type="dxa" w:w="58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90-day pilot is approximately $37K for Year 1 at published rates — no hidden fees, no large up-front build. Because we route work across roughly seven models by task (Section 9), the AI run cost is a fraction of wiring everything to one premium model. The full engine (the later expansion) is profiled in Section 12, but only after the pilot proves the lift.</w:t>
            </w:r>
          </w:p>
        </w:tc>
      </w:tr>
    </w:tbl>
    <w:p>
      <w:pPr>
        <w:pStyle w:val="Heading1"/>
        <w:keepNext/>
        <w:pageBreakBefore/>
        <w:spacing w:after="120" w:before="0" w:line="240"/>
      </w:pPr>
      <w:r>
        <w:rPr>
          <w:rFonts w:ascii="Open Sans" w:cs="Open Sans" w:eastAsia="Open Sans" w:hAnsi="Open Sans"/>
          <w:color w:val="FFFFFF"/>
          <w:sz w:val="2"/>
          <w:szCs w:val="2"/>
        </w:rPr>
        <w:t xml:space="preserve">17  What Happens Next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A1A2E"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A1A2E"/>
                <w:sz w:val="34"/>
                <w:szCs w:val="34"/>
              </w:rPr>
              <w:t xml:space="preserve">17  What Happens Next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Brandywine has the hard things: 32 years, 60-plus infill communities, $1.2 billion in revenue, deep city and capital relationships, and a proven adaptive-reuse model. What it has not yet done is bring AI to the supply side of that model — and no Southern California infill competitor has either. That is a first-mover lane, open today, in the exact part of the business where growth is actually gated.</w:t>
      </w:r>
    </w:p>
    <w:p>
      <w:pPr>
        <w:spacing w:after="140" w:before="0" w:line="320"/>
        <w:jc w:val="both"/>
      </w:pPr>
      <w:r>
        <w:rPr>
          <w:rFonts w:ascii="Open Sans" w:cs="Open Sans" w:eastAsia="Open Sans" w:hAnsi="Open Sans"/>
          <w:b w:val="false"/>
          <w:bCs w:val="false"/>
          <w:i w:val="false"/>
          <w:iCs w:val="false"/>
          <w:color w:val="59595B"/>
          <w:sz w:val="22"/>
          <w:szCs w:val="22"/>
        </w:rPr>
        <w:t xml:space="preserve">The opportunity is concrete and low-risk: turn on AI land and account intelligence, fix the front door and the partner presence, then build the land-feasibility, entitlement, and buyer tools on top. The entry program is small on purpose and pays for itself on the land and absorption levers alone; the bigger build comes later, once the entry proves the lift.</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Recommended Next Steps</w:t>
            </w:r>
          </w:p>
          <w:p>
            <w:pPr>
              <w:keepNext/>
              <w:keepLines/>
              <w:spacing w:after="60" w:before="40" w:line="300"/>
            </w:pPr>
            <w:r>
              <w:rPr>
                <w:rFonts w:ascii="Open Sans" w:cs="Open Sans" w:eastAsia="Open Sans" w:hAnsi="Open Sans"/>
                <w:color w:val="59595B"/>
                <w:sz w:val="20"/>
                <w:szCs w:val="20"/>
              </w:rPr>
              <w:t xml:space="preserve">Step 1: A 30-minute discovery call to answer the Section 15 questions and confirm program scope — or start with a half-day Executive AI Briefing tailored to Brandywine.</w:t>
            </w:r>
          </w:p>
          <w:p>
            <w:pPr>
              <w:keepNext/>
              <w:keepLines/>
              <w:spacing w:after="60" w:before="40" w:line="300"/>
            </w:pPr>
            <w:r>
              <w:rPr>
                <w:rFonts w:ascii="Open Sans" w:cs="Open Sans" w:eastAsia="Open Sans" w:hAnsi="Open Sans"/>
                <w:color w:val="59595B"/>
                <w:sz w:val="20"/>
                <w:szCs w:val="20"/>
              </w:rPr>
              <w:t xml:space="preserve">Step 2: Technijian returns a calibrated ROI model and a fixed-scope Statement of Work within 5 business days.</w:t>
            </w:r>
          </w:p>
          <w:p>
            <w:pPr>
              <w:keepNext w:val="false"/>
              <w:keepLines/>
              <w:spacing w:after="60" w:before="40" w:line="300"/>
            </w:pPr>
            <w:r>
              <w:rPr>
                <w:rFonts w:ascii="Open Sans" w:cs="Open Sans" w:eastAsia="Open Sans" w:hAnsi="Open Sans"/>
                <w:color w:val="59595B"/>
                <w:sz w:val="20"/>
                <w:szCs w:val="20"/>
              </w:rPr>
              <w:t xml:space="preserve">Step 3: Phase 1 kickoff — the workshop, land and account intelligence, and the crawler and search fixes — live inside 30 days.</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006DB6" w:val="clear"/>
            <w:tcMar>
              <w:top w:type="dxa" w:w="300"/>
              <w:left w:type="dxa" w:w="400"/>
              <w:bottom w:type="dxa" w:w="300"/>
              <w:right w:type="dxa" w:w="400"/>
            </w:tcMar>
          </w:tcPr>
          <w:p>
            <w:pPr>
              <w:spacing w:after="100"/>
              <w:jc w:val="center"/>
            </w:pPr>
            <w:r>
              <w:rPr>
                <w:rFonts w:ascii="Open Sans" w:cs="Open Sans" w:eastAsia="Open Sans" w:hAnsi="Open Sans"/>
                <w:b/>
                <w:bCs/>
                <w:color w:val="FFFFFF"/>
                <w:sz w:val="28"/>
                <w:szCs w:val="28"/>
              </w:rPr>
              <w:t xml:space="preserve">Be the first infill builder with AI on the supply side.</w:t>
            </w:r>
          </w:p>
          <w:p>
            <w:pPr>
              <w:spacing w:after="80"/>
              <w:jc w:val="center"/>
            </w:pPr>
            <w:r>
              <w:rPr>
                <w:rFonts w:ascii="Open Sans" w:cs="Open Sans" w:eastAsia="Open Sans" w:hAnsi="Open Sans"/>
                <w:color w:val="FFFFFF"/>
                <w:sz w:val="22"/>
                <w:szCs w:val="22"/>
              </w:rPr>
              <w:t xml:space="preserve">Ravi Jain, Founder &amp; CEO, Technijian  |  rjain@technijian.com  |  949.379.8499</w:t>
            </w:r>
          </w:p>
          <w:p>
            <w:pPr>
              <w:jc w:val="center"/>
            </w:pPr>
            <w:r>
              <w:rPr>
                <w:rFonts w:ascii="Open Sans" w:cs="Open Sans" w:eastAsia="Open Sans" w:hAnsi="Open Sans"/>
                <w:color w:val="FFFFFF"/>
                <w:sz w:val="20"/>
                <w:szCs w:val="20"/>
              </w:rPr>
              <w:t xml:space="preserve">technijian.com  |  Irvine, CA</w:t>
            </w:r>
          </w:p>
        </w:tc>
      </w:tr>
    </w:tbl>
    <w:p>
      <w:pPr>
        <w:pStyle w:val="Heading1"/>
        <w:keepNext/>
        <w:pageBreakBefore/>
        <w:spacing w:after="120" w:before="0" w:line="240"/>
      </w:pPr>
      <w:r>
        <w:rPr>
          <w:rFonts w:ascii="Open Sans" w:cs="Open Sans" w:eastAsia="Open Sans" w:hAnsi="Open Sans"/>
          <w:color w:val="FFFFFF"/>
          <w:sz w:val="2"/>
          <w:szCs w:val="2"/>
        </w:rPr>
        <w:t xml:space="preserve">18  About Technijian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59595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59595B"/>
                <w:sz w:val="34"/>
                <w:szCs w:val="34"/>
              </w:rPr>
              <w:t xml:space="preserve">18  About Technijian</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 is an AI-native managed services and technology firm headquartered in Irvine, California, serving small and mid-sized businesses since 2000. We build and operate the AI systems that help regional businesses compete at scale — as a fellow Orange County company that understands the Southern California development landscape.</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6686"/>
      </w:tblGrid>
      <w:tr>
        <w:trPr>
          <w:cantSplit/>
          <w:tblHeader/>
        </w:trPr>
        <w:tc>
          <w:tcPr>
            <w:tcW w:type="dxa" w:w="267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668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Delivers for Brandywine</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strategy, the executive workshop, the fractional advisor, and the custom AI that runs the land, entitlement, and buyer engine</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w:t>
            </w:r>
          </w:p>
        </w:tc>
        <w:tc>
          <w:tcPr>
            <w:tcW w:type="dxa" w:w="6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Land and account intelligence — parcels, owners, cities, and capital partners surfaced and prioritized for the supply side</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Custom, AI-native builds — the land-feasibility tool, entitlement document-intelligence, the 24/7 buyer assistant, and the knowledge graph</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c>
          <w:tcPr>
            <w:tcW w:type="dxa" w:w="6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Community and answer-engine search, the crawler fix, and the landowner and city-facing B2B presence</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IT &amp; My Security</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managed IT, cybersecurity, and compliance foundation that the whole program runs on, securely</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blHeader/>
        </w:trPr>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Contact</w:t>
            </w:r>
          </w:p>
        </w:tc>
        <w:tc>
          <w:tcPr>
            <w:tcW w:type="dxa" w:w="62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Detail</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Founder &amp; CEO</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Ravi Jain — rjain@technijian.com</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Office</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18 Technology Dr., Suite 141, Irvine, CA 92618</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Phone</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949.379.8499</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Web</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technijian.com</w:t>
            </w:r>
          </w:p>
        </w:tc>
      </w:tr>
    </w:tbl>
    <w:p>
      <w:pPr>
        <w:pStyle w:val="Heading1"/>
        <w:keepNext/>
        <w:pageBreakBefore/>
        <w:spacing w:after="120" w:before="0" w:line="240"/>
      </w:pPr>
      <w:r>
        <w:rPr>
          <w:rFonts w:ascii="Open Sans" w:cs="Open Sans" w:eastAsia="Open Sans" w:hAnsi="Open Sans"/>
          <w:color w:val="FFFFFF"/>
          <w:sz w:val="2"/>
          <w:szCs w:val="2"/>
        </w:rPr>
        <w:t xml:space="preserve">A  Appendix — Sources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59595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59595B"/>
                <w:sz w:val="34"/>
                <w:szCs w:val="34"/>
              </w:rPr>
              <w:t xml:space="preserve">A  Appendix — Sources</w:t>
            </w:r>
          </w:p>
        </w:tc>
      </w:tr>
    </w:tbl>
    <w:p>
      <w:pPr>
        <w:spacing w:after="0" w:before="80"/>
      </w:pPr>
      <w:r>
        <w:t xml:space="preserve"/>
      </w:r>
    </w:p>
    <w:p>
      <w:pPr>
        <w:spacing w:after="100" w:before="0" w:line="320"/>
        <w:jc w:val="both"/>
      </w:pPr>
      <w:r>
        <w:rPr>
          <w:rFonts w:ascii="Open Sans" w:cs="Open Sans" w:eastAsia="Open Sans" w:hAnsi="Open Sans"/>
          <w:b w:val="false"/>
          <w:bCs w:val="false"/>
          <w:i/>
          <w:iCs/>
          <w:color w:val="59595B"/>
          <w:sz w:val="22"/>
          <w:szCs w:val="22"/>
        </w:rPr>
        <w:t xml:space="preserve">Intelligence gathered via public web research, June 2026. Company details are drawn from public sources and Brandywine’s own materials, and should be confirmed before external use.</w:t>
      </w:r>
    </w:p>
    <w:p>
      <w:pPr>
        <w:spacing w:after="100" w:before="0" w:line="320"/>
        <w:jc w:val="both"/>
      </w:pPr>
      <w:r>
        <w:rPr>
          <w:rFonts w:ascii="Open Sans" w:cs="Open Sans" w:eastAsia="Open Sans" w:hAnsi="Open Sans"/>
          <w:b w:val="false"/>
          <w:bCs w:val="false"/>
          <w:i w:val="false"/>
          <w:iCs w:val="false"/>
          <w:color w:val="59595B"/>
          <w:sz w:val="20"/>
          <w:szCs w:val="20"/>
        </w:rPr>
        <w:t xml:space="preserve">1. Brandywine Homes — brandywine-homes.com (Vision/Mission, Partnerships, Team, Find Your Home, Past Communities, Multi-Family, News); Yelp / D&amp;B / BuildZoom; LinkedIn; Instagram; PR Newswire (2019 results); The Real Deal LA (Pico Rivera, 2024); SoCal MAME 2021.</w:t>
      </w:r>
    </w:p>
    <w:p>
      <w:pPr>
        <w:spacing w:after="100" w:before="0" w:line="320"/>
        <w:jc w:val="both"/>
      </w:pPr>
      <w:r>
        <w:rPr>
          <w:rFonts w:ascii="Open Sans" w:cs="Open Sans" w:eastAsia="Open Sans" w:hAnsi="Open Sans"/>
          <w:b w:val="false"/>
          <w:bCs w:val="false"/>
          <w:i w:val="false"/>
          <w:iCs w:val="false"/>
          <w:color w:val="59595B"/>
          <w:sz w:val="20"/>
          <w:szCs w:val="20"/>
        </w:rPr>
        <w:t xml:space="preserve">2. Market, policy &amp; proptech — Davis Vanguard and firsttuesday (permits / starts); HousingWire and John Burns Research (sales, inventory, incentives, affordability); C.A.R. 2026 forecast; Holland &amp; Knight and Urban Land Institute (AB 130 / SB 131, 12-18 month estimate); Terner Center and CA YIMBY (SB 423, AB 2011); NAR and Zonda / NewHomeSource; The Real Deal and Bisnow (Prophetic, D.R. Horton, Century); HousingWire (Acres.ai); Higharc / Inman; Cotality and HouseCanary; ECI (MarkSystems, Lasso CRM); Salesforce and Chief AI Officer (Lennar LISA / Agentforce); Autodesk 2025 construction-AI trends.</w:t>
      </w:r>
    </w:p>
    <w:p>
      <w:pPr>
        <w:spacing w:after="100" w:before="0" w:line="320"/>
        <w:jc w:val="both"/>
      </w:pPr>
      <w:r>
        <w:rPr>
          <w:rFonts w:ascii="Open Sans" w:cs="Open Sans" w:eastAsia="Open Sans" w:hAnsi="Open Sans"/>
          <w:b w:val="false"/>
          <w:bCs w:val="false"/>
          <w:i w:val="false"/>
          <w:iCs w:val="false"/>
          <w:color w:val="59595B"/>
          <w:sz w:val="20"/>
          <w:szCs w:val="20"/>
        </w:rPr>
        <w:t xml:space="preserve">3. Competitors &amp; Technijian — The Olson Company, City Ventures, Melia Homes, Trumark Homes, Warmington, Intracorp; Risewell Homes (New Home Co. + Landsea); Lennar, KB Home, Tri Pointe, Toll Brothers (Builder Magazine, GlobeNewswire, company sites). Technijian documented Proven Results: AI Document Intelligence (FINRA broker-dealers); Multi-Agent SEO + Answer-Engine Platform; ScamShield LLM Council; Weaviate + Obsidian knowledge system.</w:t>
      </w:r>
    </w:p>
    <w:p>
      <w:pPr>
        <w:spacing w:after="140" w:before="0" w:line="320"/>
        <w:jc w:val="both"/>
      </w:pPr>
      <w:r>
        <w:rPr>
          <w:rFonts w:ascii="Open Sans" w:cs="Open Sans" w:eastAsia="Open Sans" w:hAnsi="Open Sans"/>
          <w:b w:val="false"/>
          <w:bCs w:val="false"/>
          <w:i w:val="false"/>
          <w:iCs w:val="false"/>
          <w:color w:val="59595B"/>
          <w:sz w:val="20"/>
          <w:szCs w:val="20"/>
        </w:rPr>
        <w:t xml:space="preserve">4. AI literacy &amp; responsible-AI frameworks (Section 10) — MIT Sloan Management Review (AI literacy: "what AI can do," not how to build it); Anthropic, "Building Effective Agents" (the automation/workflow vs. agent distinction); the widely-used five-stage AI maturity model, consistent with Gartner and Google Cloud frameworks; U.S. NIST AI Risk Management Framework (Govern / Map / Measure / Manage); McKinsey State of AI (AI as a stage-gated, measured investment).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80"/>
      <w:jc w:val="center"/>
    </w:pPr>
    <w:r>
      <w:rPr>
        <w:rFonts w:ascii="Open Sans" w:cs="Open Sans" w:eastAsia="Open Sans" w:hAnsi="Open Sans"/>
        <w:color w:val="59595B"/>
        <w:sz w:val="16"/>
        <w:szCs w:val="16"/>
      </w:rPr>
      <w:t xml:space="preserve">Technijian  |  18 Technology Dr., Ste 141, Irvine, CA 92618  |  949.379.8499  |  technijian.com  |  Page </w:t>
    </w:r>
    <w:r>
      <w:rPr>
        <w:rFonts w:ascii="Open Sans" w:cs="Open Sans" w:eastAsia="Open Sans" w:hAnsi="Open Sans"/>
        <w:color w:val="59595B"/>
        <w:sz w:val="16"/>
        <w:szCs w:val="16"/>
      </w:rPr>
      <w:fldChar w:fldCharType="begin"/>
      <w:instrText xml:space="preserve">PAGE</w:instrText>
      <w:fldChar w:fldCharType="separate"/>
      <w:fldChar w:fldCharType="end"/>
    </w:r>
    <w:r>
      <w:rPr>
        <w:rFonts w:ascii="Open Sans" w:cs="Open Sans" w:eastAsia="Open Sans" w:hAnsi="Open Sans"/>
        <w:color w:val="59595B"/>
        <w:sz w:val="16"/>
        <w:szCs w:val="16"/>
      </w:rPr>
      <w:t xml:space="preserve"> of </w:t>
    </w:r>
    <w:r>
      <w:rPr>
        <w:rFonts w:ascii="Open Sans" w:cs="Open Sans" w:eastAsia="Open Sans" w:hAnsi="Open Sans"/>
        <w:color w:val="59595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Borders>
            <w:top w:val="none" w:color="FFFFFF" w:sz="0"/>
            <w:left w:val="none" w:color="FFFFFF" w:sz="0"/>
            <w:bottom w:val="none" w:color="FFFFFF" w:sz="0"/>
            <w:right w:val="none" w:color="FFFFFF" w:sz="0"/>
          </w:tcBorders>
        </w:tcPr>
        <w:p>
          <w:r>
            <w:drawing>
              <wp:inline distT="0" distB="0" distL="0" distR="0">
                <wp:extent cx="15240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24000" cy="323850"/>
                        </a:xfrm>
                        <a:prstGeom prst="rect">
                          <a:avLst/>
                        </a:prstGeom>
                      </pic:spPr>
                    </pic:pic>
                  </a:graphicData>
                </a:graphic>
              </wp:inline>
            </w:drawing>
          </w:r>
        </w:p>
      </w:tc>
      <w:tc>
        <w:tcPr>
          <w:tcBorders>
            <w:top w:val="none" w:color="FFFFFF" w:sz="0"/>
            <w:left w:val="none" w:color="FFFFFF" w:sz="0"/>
            <w:bottom w:val="single" w:color="006DB6" w:sz="6"/>
            <w:right w:val="none" w:color="FFFFFF" w:sz="0"/>
          </w:tcBorders>
          <w:vAlign w:val="bottom"/>
        </w:tcPr>
        <w:p>
          <w:pPr>
            <w:jc w:val="right"/>
          </w:pPr>
          <w:r>
            <w:rPr>
              <w:rFonts w:ascii="Open Sans" w:cs="Open Sans" w:eastAsia="Open Sans" w:hAnsi="Open Sans"/>
              <w:color w:val="59595B"/>
              <w:sz w:val="16"/>
              <w:szCs w:val="16"/>
            </w:rPr>
            <w:t xml:space="preserve">AI Growth &amp; Integration Blueprint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rPr>
        <w:rFonts w:ascii="Symbol" w:cs="Symbol" w:eastAsia="Symbol" w:hAnsi="Symbol"/>
        <w:color w:val="006DB6"/>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59595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20" w:before="480"/>
      <w:outlineLvl w:val="0"/>
    </w:pPr>
    <w:rPr>
      <w:rFonts w:ascii="Open Sans" w:cs="Open Sans" w:eastAsia="Open Sans" w:hAnsi="Open Sans"/>
      <w:b/>
      <w:bCs/>
      <w:color w:val="FFFFFF"/>
      <w:sz w:val="2"/>
      <w:szCs w:val="2"/>
    </w:rPr>
  </w:style>
  <w:style w:type="paragraph" w:styleId="Heading2">
    <w:name w:val="Heading 2"/>
    <w:basedOn w:val="Normal"/>
    <w:next w:val="Normal"/>
    <w:pPr>
      <w:spacing w:after="120" w:before="280"/>
      <w:outlineLvl w:val="1"/>
    </w:pPr>
    <w:rPr>
      <w:rFonts w:ascii="Open Sans" w:cs="Open Sans" w:eastAsia="Open Sans" w:hAnsi="Open Sans"/>
      <w:b/>
      <w:bCs/>
      <w:color w:val="006DB6"/>
      <w:sz w:val="26"/>
      <w:szCs w:val="26"/>
    </w:rPr>
  </w:style>
  <w:style w:type="paragraph" w:styleId="Heading3">
    <w:name w:val="Heading 3"/>
    <w:basedOn w:val="Normal"/>
    <w:next w:val="Normal"/>
    <w:pPr>
      <w:spacing w:after="80" w:before="220"/>
      <w:outlineLvl w:val="2"/>
    </w:pPr>
    <w:rPr>
      <w:rFonts w:ascii="Open Sans" w:cs="Open Sans" w:eastAsia="Open Sans" w:hAnsi="Open Sans"/>
      <w:b/>
      <w:bCs/>
      <w:color w:val="1A1A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da411e2cba4fb0a0de5b42d0cbf546939e758dd.png"/><Relationship Id="rId10" Type="http://schemas.openxmlformats.org/officeDocument/2006/relationships/image" Target="media/0dce87650377511976de0fa579fdbe0adf63a7b0.png"/><Relationship Id="rId11" Type="http://schemas.openxmlformats.org/officeDocument/2006/relationships/image" Target="media/1bdcd08cad5fa0aa0e7103b043754a7a603ba301.png"/><Relationship Id="rId12" Type="http://schemas.openxmlformats.org/officeDocument/2006/relationships/image" Target="media/275884162b6b042dc36da11b3da615e4ed81a3a4.png"/><Relationship Id="rId13" Type="http://schemas.openxmlformats.org/officeDocument/2006/relationships/image" Target="media/5ac94b513a58b06ae5fe88c05fcf5158313f4502.png"/><Relationship Id="rId14" Type="http://schemas.openxmlformats.org/officeDocument/2006/relationships/image" Target="media/fb3a98c613aeaa37a5e1451c0d00c2617135e69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da411e2cba4fb0a0de5b42d0cbf546939e758d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2026-06-11T05:50:51.556Z</dcterms:created>
  <dcterms:modified xsi:type="dcterms:W3CDTF">2026-06-11T05:50:51.558Z</dcterms:modified>
</cp:coreProperties>
</file>

<file path=docProps/custom.xml><?xml version="1.0" encoding="utf-8"?>
<Properties xmlns="http://schemas.openxmlformats.org/officeDocument/2006/custom-properties" xmlns:vt="http://schemas.openxmlformats.org/officeDocument/2006/docPropsVTypes"/>
</file>