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DANIELIAN ASSOCIATES</w:t>
      </w:r>
    </w:p>
    <w:p>
      <w:pPr>
        <w:spacing w:after="100"/>
        <w:jc w:val="center"/>
      </w:pPr>
      <w:r>
        <w:rPr>
          <w:rFonts w:ascii="Open Sans" w:cs="Open Sans" w:eastAsia="Open Sans" w:hAnsi="Open Sans"/>
          <w:color w:val="006DB6"/>
          <w:sz w:val="36"/>
          <w:szCs w:val="36"/>
        </w:rPr>
        <w:t xml:space="preserve">AI Growth &amp; Integration Strategy</w:t>
      </w:r>
    </w:p>
    <w:p>
      <w:pPr>
        <w:spacing w:after="80"/>
        <w:jc w:val="center"/>
      </w:pPr>
      <w:r>
        <w:rPr>
          <w:rFonts w:ascii="Open Sans" w:cs="Open Sans" w:eastAsia="Open Sans" w:hAnsi="Open Sans"/>
          <w:color w:val="59595B"/>
          <w:sz w:val="22"/>
          <w:szCs w:val="22"/>
        </w:rPr>
        <w:t xml:space="preserve">Two fronts: win more developer pursuits — and run the studio with less drag</w:t>
      </w:r>
    </w:p>
    <w:p>
      <w:pPr>
        <w:spacing w:after="0" w:before="160"/>
      </w:pPr>
      <w:r>
        <w:t xml:space="preserve"/>
      </w:r>
    </w:p>
    <w:p>
      <w:pPr>
        <w:spacing w:after="40"/>
        <w:jc w:val="center"/>
      </w:pPr>
      <w:r>
        <w:rPr>
          <w:rFonts w:ascii="Open Sans" w:cs="Open Sans" w:eastAsia="Open Sans" w:hAnsi="Open Sans"/>
          <w:b/>
          <w:bCs/>
          <w:color w:val="1A1A2E"/>
          <w:sz w:val="24"/>
          <w:szCs w:val="24"/>
        </w:rPr>
        <w:t xml:space="preserve">Prepared for Danielian Associates | Architects • Planners</w:t>
      </w:r>
    </w:p>
    <w:p>
      <w:pPr>
        <w:spacing w:after="40"/>
        <w:jc w:val="center"/>
      </w:pPr>
      <w:r>
        <w:rPr>
          <w:rFonts w:ascii="Open Sans" w:cs="Open Sans" w:eastAsia="Open Sans" w:hAnsi="Open Sans"/>
          <w:color w:val="59595B"/>
          <w:sz w:val="22"/>
          <w:szCs w:val="22"/>
        </w:rPr>
        <w:t xml:space="preserve">Prepared by Technijian  |  2026-06-01</w:t>
      </w:r>
    </w:p>
    <w:p>
      <w:pPr>
        <w:spacing w:after="40"/>
        <w:jc w:val="center"/>
      </w:pPr>
      <w:r>
        <w:rPr>
          <w:rFonts w:ascii="Open Sans" w:cs="Open Sans" w:eastAsia="Open Sans" w:hAnsi="Open Sans"/>
          <w:color w:val="59595B"/>
          <w:sz w:val="22"/>
          <w:szCs w:val="22"/>
        </w:rPr>
        <w:t xml:space="preserve">Irvine, California — five minutes apart</w:t>
      </w:r>
    </w:p>
    <w:p>
      <w:pPr>
        <w:spacing w:after="0" w:before="5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Danielian Associates. Projections are estimated and calibrate to real figures after a discovery call.</w:t>
      </w:r>
    </w:p>
    <w:p>
      <w:r>
        <w:br w:type="page"/>
      </w:r>
    </w:p>
    <w:p>
      <w:pPr>
        <w:spacing w:after="200"/>
      </w:pPr>
      <w:r>
        <w:rPr>
          <w:rFonts w:ascii="Open Sans" w:cs="Open Sans" w:eastAsia="Open Sans" w:hAnsi="Open Sans"/>
          <w:b/>
          <w:bCs/>
          <w:color w:val="006DB6"/>
          <w:sz w:val="32"/>
          <w:szCs w:val="32"/>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1968</w:t>
            </w:r>
          </w:p>
          <w:p>
            <w:pPr>
              <w:spacing w:after="0"/>
              <w:jc w:val="center"/>
            </w:pPr>
            <w:r>
              <w:rPr>
                <w:rFonts w:ascii="Open Sans" w:cs="Open Sans" w:eastAsia="Open Sans" w:hAnsi="Open Sans"/>
                <w:color w:val="59595B"/>
                <w:sz w:val="17"/>
                <w:szCs w:val="17"/>
              </w:rPr>
              <w:t xml:space="preserve">Designing communities for 57 years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1M+</w:t>
            </w:r>
          </w:p>
          <w:p>
            <w:pPr>
              <w:spacing w:after="0"/>
              <w:jc w:val="center"/>
            </w:pPr>
            <w:r>
              <w:rPr>
                <w:rFonts w:ascii="Open Sans" w:cs="Open Sans" w:eastAsia="Open Sans" w:hAnsi="Open Sans"/>
                <w:color w:val="59595B"/>
                <w:sz w:val="17"/>
                <w:szCs w:val="17"/>
              </w:rPr>
              <w:t xml:space="preserve">Units of housing delivered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775+</w:t>
            </w:r>
          </w:p>
          <w:p>
            <w:pPr>
              <w:spacing w:after="0"/>
              <w:jc w:val="center"/>
            </w:pPr>
            <w:r>
              <w:rPr>
                <w:rFonts w:ascii="Open Sans" w:cs="Open Sans" w:eastAsia="Open Sans" w:hAnsi="Open Sans"/>
                <w:color w:val="59595B"/>
                <w:sz w:val="17"/>
                <w:szCs w:val="17"/>
              </w:rPr>
              <w:t xml:space="preserve">Design awards won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6,353</w:t>
            </w:r>
          </w:p>
          <w:p>
            <w:pPr>
              <w:spacing w:after="0"/>
              <w:jc w:val="center"/>
            </w:pPr>
            <w:r>
              <w:rPr>
                <w:rFonts w:ascii="Open Sans" w:cs="Open Sans" w:eastAsia="Open Sans" w:hAnsi="Open Sans"/>
                <w:color w:val="59595B"/>
                <w:sz w:val="17"/>
                <w:szCs w:val="17"/>
              </w:rPr>
              <w:t xml:space="preserve">Projects, 44 states, 15 countries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Danielian Associates has spent 57 years turning land into communities — more than a million units of housing across 44 states and 15 countries, and 775 design awards along the way. The firm wins work the way the best design studios always have: through deep developer relationships, a reputation for craft, and pursuits that land the next project. None of that changes. What this strategy adds is a layer underneath it — AI that helps the firm win more of those pursuits and run the studio with less non-design drag, so a new generation of leadership carries the Danielian legacy into the next decade without losing what makes it Danielian.</w:t>
      </w:r>
    </w:p>
    <w:p>
      <w:pPr>
        <w:spacing w:after="140" w:before="0" w:line="320"/>
        <w:jc w:val="both"/>
      </w:pPr>
      <w:r>
        <w:rPr>
          <w:rFonts w:ascii="Open Sans" w:cs="Open Sans" w:eastAsia="Open Sans" w:hAnsi="Open Sans"/>
          <w:b w:val="false"/>
          <w:bCs w:val="false"/>
          <w:i w:val="false"/>
          <w:iCs w:val="false"/>
          <w:color w:val="59595B"/>
          <w:sz w:val="22"/>
          <w:szCs w:val="22"/>
        </w:rPr>
        <w:t xml:space="preserve">This document is built on two fronts, because Danielian has two distinct, real opportunities. The first is growth: win a larger share of the finite, named universe of developers the firm already competes for — faster proposals, sharper account timing, and authority content aimed at the exact questions developers ask. The second is integration: weave AI into how the studio actually runs — making 57 years of project knowledge searchable, turning proposal assembly from days into hours, and giving entitlement and code research a head start — so licensed architects spend more time designing and in front of clients.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Growth (the pursuit engine): Danielian sells to a knowable set of homebuilders, multifamily and BTR developers, affordable-housing developers, and landowners. The win is depth and timing on those named accounts — not a broad lead funnel. AI makes each pursuit faster and better-targeted.</w:t>
            </w:r>
          </w:p>
          <w:p>
            <w:pPr>
              <w:keepNext/>
              <w:keepLines/>
              <w:spacing w:after="60" w:before="40" w:line="300"/>
            </w:pPr>
            <w:r>
              <w:rPr>
                <w:rFonts w:ascii="Open Sans" w:cs="Open Sans" w:eastAsia="Open Sans" w:hAnsi="Open Sans"/>
                <w:color w:val="59595B"/>
                <w:sz w:val="20"/>
                <w:szCs w:val="20"/>
              </w:rPr>
              <w:t xml:space="preserve">Integration (the studio engine): a 57-year, 6,353-project archive is the firm’s most underused asset. Made searchable and paired with proposal and research automation, it returns hours to design and locks in knowledge as senior principals hand the firm to the next generation.</w:t>
            </w:r>
          </w:p>
          <w:p>
            <w:pPr>
              <w:keepNext w:val="false"/>
              <w:keepLines/>
              <w:spacing w:after="60" w:before="40" w:line="300"/>
            </w:pPr>
            <w:r>
              <w:rPr>
                <w:rFonts w:ascii="Open Sans" w:cs="Open Sans" w:eastAsia="Open Sans" w:hAnsi="Open Sans"/>
                <w:color w:val="59595B"/>
                <w:sz w:val="20"/>
                <w:szCs w:val="20"/>
              </w:rPr>
              <w:t xml:space="preserve">The timing: California’s 2026 housing laws are pushing demand up in Danielian’s exact product lines (multifamily, BTR, ADU, middle housing) while most architecture firms are not yet AI-ready. The firm that turns pursuits around fastest captures disproportionate share.</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Danielian already runs on EOS, with a named Chief Technology Manager and a Director of Business Development — the two seats an AI program reports into. That is a firm built to absorb this. We have framed the program as EOS Rocks with Scorecard metrics, scoped to start small and prove the lift before it scales firmwide across Orange County, Los Angeles, and Nashville.</w:t>
      </w:r>
    </w:p>
    <w:p>
      <w:pPr>
        <w:spacing w:after="140" w:before="60" w:line="320"/>
        <w:jc w:val="both"/>
      </w:pPr>
      <w:r>
        <w:rPr>
          <w:rFonts w:ascii="Open Sans" w:cs="Open Sans" w:eastAsia="Open Sans" w:hAnsi="Open Sans"/>
          <w:b w:val="false"/>
          <w:bCs w:val="false"/>
          <w:i/>
          <w:iCs/>
          <w:color w:val="59595B"/>
          <w:sz w:val="20"/>
          <w:szCs w:val="20"/>
        </w:rPr>
        <w:t xml:space="preserve">An honest note up front, carried throughout: AI augments the licensed architects and planners — it does not design, and it does not stamp. Every figure here is an estimate that calibrates to Danielian’s real numbers at a discovery call. Technijian has built the patterns named in this plan for clients in other regulated, document-heavy fields; we map them to Danielian’s workflows rather than claim prior architecture-specific delivery.</w:t>
      </w:r>
    </w:p>
    <w:p>
      <w:pPr>
        <w:pStyle w:val="Heading1"/>
        <w:keepNext/>
        <w:pageBreakBefore/>
        <w:spacing w:after="120" w:before="0" w:line="240"/>
      </w:pPr>
      <w:r>
        <w:rPr>
          <w:rFonts w:ascii="Open Sans" w:cs="Open Sans" w:eastAsia="Open Sans" w:hAnsi="Open Sans"/>
          <w:color w:val="FFFFFF"/>
          <w:sz w:val="2"/>
          <w:szCs w:val="2"/>
        </w:rPr>
        <w:t xml:space="preserve">02  Where the Value Comes From — Two Fronts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Where the Value Comes From — Two Fronts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tactics, one question shapes the plan: where does the next dollar of value actually come from for a 57-year-old design studio? There are two answers, and they are different enough that the program treats them as parallel fronts — one external and growth-facing, one internal and efficiency-facing.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8"/>
        <w:gridCol w:w="3790"/>
      </w:tblGrid>
      <w:tr>
        <w:trPr>
          <w:cantSplit/>
          <w:tblHeader/>
        </w:trPr>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c>
          <w:tcPr>
            <w:tcW w:type="dxa" w:w="37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1 — Growth (win more pursuits)</w:t>
            </w:r>
          </w:p>
        </w:tc>
        <w:tc>
          <w:tcPr>
            <w:tcW w:type="dxa" w:w="37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2 — Integration (run the studio)</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it is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 larger share of the named developer universe Danielian already competes for</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Weave AI into how the studio runs — knowledge, proposals, research, production</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Who owns it</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Deborah Muro, Director of Business Development</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Victor Alvarez-Duran, Chief Technology Manager</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win</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Higher pursuit win rate; faster, sharper proposals; better account timing</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returned to billable design; knowledge retained; less rework</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Time to value</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to two quarters — first pursuit pilot proves it</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for proposal automation; a quarter for the knowledge graph</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Where AI fits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proposal automation, authority content</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project archive, entitlement research, production automation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Fronts, One Studio</w:t>
            </w:r>
          </w:p>
          <w:p>
            <w:pPr>
              <w:keepNext/>
              <w:keepLines/>
              <w:spacing w:after="60" w:before="40" w:line="300"/>
            </w:pPr>
            <w:r>
              <w:rPr>
                <w:rFonts w:ascii="Open Sans" w:cs="Open Sans" w:eastAsia="Open Sans" w:hAnsi="Open Sans"/>
                <w:color w:val="59595B"/>
                <w:sz w:val="20"/>
                <w:szCs w:val="20"/>
              </w:rPr>
              <w:t xml:space="preserve">Front 1 is the growth play: AI sits under the relationship layer Danielian has built over 57 years — it does not replace referrals, trust, or the in-person pursuit. It makes the firm faster and better-informed on the accounts it already chases.</w:t>
            </w:r>
          </w:p>
          <w:p>
            <w:pPr>
              <w:keepNext/>
              <w:keepLines/>
              <w:spacing w:after="60" w:before="40" w:line="300"/>
            </w:pPr>
            <w:r>
              <w:rPr>
                <w:rFonts w:ascii="Open Sans" w:cs="Open Sans" w:eastAsia="Open Sans" w:hAnsi="Open Sans"/>
                <w:color w:val="59595B"/>
                <w:sz w:val="20"/>
                <w:szCs w:val="20"/>
              </w:rPr>
              <w:t xml:space="preserve">Front 2 is the efficiency play, and for a firm this established it may be the bigger near-term win: the 6,353-project archive becomes a living, searchable asset instead of files and retiring principals’ memories.</w:t>
            </w:r>
          </w:p>
          <w:p>
            <w:pPr>
              <w:keepNext w:val="false"/>
              <w:keepLines/>
              <w:spacing w:after="60" w:before="40" w:line="300"/>
            </w:pPr>
            <w:r>
              <w:rPr>
                <w:rFonts w:ascii="Open Sans" w:cs="Open Sans" w:eastAsia="Open Sans" w:hAnsi="Open Sans"/>
                <w:color w:val="59595B"/>
                <w:sz w:val="20"/>
                <w:szCs w:val="20"/>
              </w:rPr>
              <w:t xml:space="preserve">They reinforce each other. The same knowledge graph that speeds a proposal also surfaces the right precedent for a design. The same automation that wins a pursuit returns the hours to deliver it well.</w:t>
            </w:r>
          </w:p>
        </w:tc>
      </w:tr>
    </w:tbl>
    <w:p>
      <w:pPr>
        <w:pStyle w:val="Heading1"/>
        <w:keepNext/>
        <w:pageBreakBefore/>
        <w:spacing w:after="120" w:before="0" w:line="240"/>
      </w:pPr>
      <w:r>
        <w:rPr>
          <w:rFonts w:ascii="Open Sans" w:cs="Open Sans" w:eastAsia="Open Sans" w:hAnsi="Open Sans"/>
          <w:color w:val="FFFFFF"/>
          <w:sz w:val="2"/>
          <w:szCs w:val="2"/>
        </w:rPr>
        <w:t xml:space="preserve">03  Why Now — The 2026 Window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Why Now — The 2026 Window</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are converging in 2026, and both favor a firm that moves now. Demand for Danielian’s exact products is being legislated upward, while the architecture profession is splitting into firms that have made AI part of how they work and firms that have not.</w:t>
      </w:r>
    </w:p>
    <w:p>
      <w:pPr>
        <w:spacing w:after="0" w:before="60"/>
      </w:pPr>
      <w:r>
        <w:t xml:space="preserve"/>
      </w:r>
    </w:p>
    <w:p>
      <w:pPr>
        <w:pStyle w:val="Heading2"/>
        <w:keepNext/>
        <w:keepLines/>
        <w:spacing w:after="120" w:before="280"/>
      </w:pPr>
      <w:r>
        <w:rPr>
          <w:rFonts w:ascii="Open Sans" w:cs="Open Sans" w:eastAsia="Open Sans" w:hAnsi="Open Sans"/>
          <w:b/>
          <w:bCs/>
          <w:color w:val="006DB6"/>
          <w:sz w:val="26"/>
          <w:szCs w:val="26"/>
        </w:rPr>
        <w:t xml:space="preserve">Force 1 — California is legislating housing demand straight into Danielian’s product lines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79 (effective July 1, 2026). </w:t>
      </w:r>
      <w:r>
        <w:rPr>
          <w:rFonts w:ascii="Open Sans" w:cs="Open Sans" w:eastAsia="Open Sans" w:hAnsi="Open Sans"/>
          <w:color w:val="59595B"/>
          <w:sz w:val="22"/>
          <w:szCs w:val="22"/>
        </w:rPr>
        <w:t xml:space="preserve">Upzones land around transit — including small single-family parcels — pushing more multifamily and mixed-use exactly where Danielian designs.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1211 + ADU streamlining (SB 543, AB 1061). </w:t>
      </w:r>
      <w:r>
        <w:rPr>
          <w:rFonts w:ascii="Open Sans" w:cs="Open Sans" w:eastAsia="Open Sans" w:hAnsi="Open Sans"/>
          <w:color w:val="59595B"/>
          <w:sz w:val="22"/>
          <w:szCs w:val="22"/>
        </w:rPr>
        <w:t xml:space="preserve">Allows up to eight detached ADUs on a multifamily lot and accelerates ADU and lot-split approvals. ADUs and middle housing — a Danielian heritage going back to its wide-shallow-lot and z-lot innovations — become higher-volume work.</w:t>
      </w:r>
    </w:p>
    <w:p>
      <w:pPr>
        <w:pStyle w:val="ListParagraph"/>
        <w:numPr>
          <w:ilvl w:val="0"/>
          <w:numId w:val="2"/>
        </w:numPr>
        <w:spacing w:after="80" w:before="40" w:line="300"/>
      </w:pPr>
      <w:r>
        <w:rPr>
          <w:rFonts w:ascii="Open Sans" w:cs="Open Sans" w:eastAsia="Open Sans" w:hAnsi="Open Sans"/>
          <w:b/>
          <w:bCs/>
          <w:color w:val="1A1A2E"/>
          <w:sz w:val="22"/>
          <w:szCs w:val="22"/>
        </w:rPr>
        <w:t xml:space="preserve">The pattern. </w:t>
      </w:r>
      <w:r>
        <w:rPr>
          <w:rFonts w:ascii="Open Sans" w:cs="Open Sans" w:eastAsia="Open Sans" w:hAnsi="Open Sans"/>
          <w:color w:val="59595B"/>
          <w:sz w:val="22"/>
          <w:szCs w:val="22"/>
        </w:rPr>
        <w:t xml:space="preserve">The state has issued 60,000+ ADU permits since 2018 and keeps pressing for production. The regulatory wind is at Danielian’s back specifically in multifamily, BTR, ADU, and middle housing.</w:t>
      </w:r>
    </w:p>
    <w:p>
      <w:pPr>
        <w:spacing w:after="140" w:before="60" w:line="320"/>
        <w:jc w:val="both"/>
      </w:pPr>
      <w:r>
        <w:rPr>
          <w:rFonts w:ascii="Open Sans" w:cs="Open Sans" w:eastAsia="Open Sans" w:hAnsi="Open Sans"/>
          <w:b w:val="false"/>
          <w:bCs w:val="false"/>
          <w:i/>
          <w:iCs/>
          <w:color w:val="59595B"/>
          <w:sz w:val="20"/>
          <w:szCs w:val="20"/>
        </w:rPr>
        <w:t xml:space="preserve">The firm that can research an entitlement pathway and turn a pursuit around fastest captures a disproportionate share of this wave. That speed is exactly what AI delivers.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Force 2 — The AEC field is split into AI-ready and AI-behind firms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7"/>
        <w:gridCol w:w="4493"/>
      </w:tblGrid>
      <w:tr>
        <w:trPr>
          <w:cantSplit/>
          <w:tblHeader/>
        </w:trPr>
        <w:tc>
          <w:tcPr>
            <w:tcW w:type="dxa" w:w="486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signal (A&amp;E industry, 2025–2026)</w:t>
            </w:r>
          </w:p>
        </w:tc>
        <w:tc>
          <w:tcPr>
            <w:tcW w:type="dxa" w:w="44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 for Danielian</w:t>
            </w:r>
          </w:p>
        </w:tc>
      </w:tr>
      <w:tr>
        <w:trPr>
          <w:cantSplit/>
        </w:trPr>
        <w:tc>
          <w:tcPr>
            <w:tcW w:type="dxa" w:w="48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53% of A&amp;E firms now use AI tools; 94% of users will increase usage in 2026</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early-adopter window is closing — but it is not closed. Moving now still means leading, not following.</w:t>
            </w:r>
          </w:p>
        </w:tc>
      </w:tr>
      <w:tr>
        <w:trPr>
          <w:cantSplit/>
        </w:trPr>
        <w:tc>
          <w:tcPr>
            <w:tcW w:type="dxa" w:w="48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 of AEC firms expect AI to lift profitability; only ~20% feel "highly prepared"</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55-point gap between intent and readiness. The bottleneck is not desire — it is having a partner to implement.</w:t>
            </w:r>
          </w:p>
        </w:tc>
      </w:tr>
      <w:tr>
        <w:trPr>
          <w:cantSplit/>
        </w:trPr>
        <w:tc>
          <w:tcPr>
            <w:tcW w:type="dxa" w:w="48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 of design-development tasks are automatable; proposals, precedent and code search are the proven near-term wins</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highest-value first plays are the non-design tasks around design — exactly where Danielian loses studio hours today.</w:t>
            </w:r>
          </w:p>
        </w:tc>
      </w:tr>
      <w:tr>
        <w:trPr>
          <w:cantSplit/>
        </w:trPr>
        <w:tc>
          <w:tcPr>
            <w:tcW w:type="dxa" w:w="48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barriers in 2026 aren’t cost — they’re complexity, culture, and connection"</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Danielian doesn’t need to build an AI department. It needs an integration partner who brings strategy, build, and governance together.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Why-Now, in One Line</w:t>
            </w:r>
          </w:p>
          <w:p>
            <w:pPr>
              <w:keepNext w:val="false"/>
              <w:keepLines/>
              <w:spacing w:after="60" w:before="40" w:line="300"/>
            </w:pPr>
            <w:r>
              <w:rPr>
                <w:rFonts w:ascii="Open Sans" w:cs="Open Sans" w:eastAsia="Open Sans" w:hAnsi="Open Sans"/>
                <w:color w:val="59595B"/>
                <w:sz w:val="20"/>
                <w:szCs w:val="20"/>
              </w:rPr>
              <w:t xml:space="preserve">Demand for Danielian’s exact products is being legislated upward in 2026 while the profession divides into AI-ready and AI-behind firms. Danielian can lock in the ready side — against rivals who are larger, but not necessarily faster or smarter per pursuit.</w:t>
            </w:r>
          </w:p>
        </w:tc>
      </w:tr>
    </w:tbl>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Pursuit advantage and AI-search authority both compound, and both reward whoever moves first. Every quarter Danielian assembles pursuits by hand is a quarter its proposals are slower than they need to be — and on the inbound side, every quarter the firm is not the cited answer to "best architect for an SB 79 transit project" or "BTR feasibility in California," the AI assistants learn to answer with a rival. That default, once set in the retrieval data, is harder and more expensive to dislodge than to claim now. The 2026 housing-law window is widest before competitors build their own AI presence; the cost of waiting is not zero — it is a slower pursuit engine and a competitor becoming the default answer.</w:t>
      </w:r>
    </w:p>
    <w:p>
      <w:pPr>
        <w:pStyle w:val="Heading1"/>
        <w:keepNext/>
        <w:pageBreakBefore/>
        <w:spacing w:after="120" w:before="0" w:line="240"/>
      </w:pPr>
      <w:r>
        <w:rPr>
          <w:rFonts w:ascii="Open Sans" w:cs="Open Sans" w:eastAsia="Open Sans" w:hAnsi="Open Sans"/>
          <w:color w:val="FFFFFF"/>
          <w:sz w:val="2"/>
          <w:szCs w:val="2"/>
        </w:rPr>
        <w:t xml:space="preserve">04  The Danielian Buyer Universe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Danielian Buyer Universe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an account-based opportunity, not a broad market. The people who hire Danielian are a finite, nameable set of developers, builders, and landowners — won through relationships, repeat work, referrals, and pursuits. The map below orders them by account value and how often they buy design, so the growth engine targets depth and timing on real accounts rather than a generic funnel.</w:t>
      </w:r>
    </w:p>
    <w:p>
      <w:pPr>
        <w:spacing w:after="0" w:before="60"/>
      </w:pPr>
      <w:r>
        <w:t xml:space="preserve"/>
      </w:r>
    </w:p>
    <w:p>
      <w:pPr>
        <w:spacing w:after="80" w:before="120"/>
        <w:jc w:val="center"/>
      </w:pPr>
      <w:r>
        <w:drawing>
          <wp:inline distT="0" distB="0" distL="0" distR="0">
            <wp:extent cx="5715000" cy="3752850"/>
            <wp:effectExtent t="0" r="0" b="0" l="0"/>
            <wp:docPr id="1" name="The Danielian Buyer Universe" descr="The Danielian Buyer Universe" title="The Danielian Buyer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The Danielian Buyer Universe: Account Value vs. Pursuit Frequency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A — The Production / National Homebuilder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volume engine — recurring multifamily and single-family design across communities.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design partner who turns pursuits fast, hits product type and budget, and reuses what works.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Precedent-matched project sheets and resumes assembled to each pursuit in hours, not days.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Proposal/SOQ automation + the institutional knowledge graph feeding tailored pursuits.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B — The Multifamily / BTR Developer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2026 growth category — apartments and build-to-rent communities riding the housing-law tailwind.</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firm fluent in current density, transit, and BTR feasibility — and quick to a credible concept.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on BTR and SB 79 feasibility; trigger-based outreach when they acquire a site.</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authority engine + account intelligence on land buys and entitlement filings.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C — The Affordable-Housing Developer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Mission-and-volume buyers (LIHTC / workforce) where entitlement speed and precedent matter most.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partner who can move fast through complex approvals and bring a deep affordable precedent library.</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Entitlement-pathway research; a searchable library of past affordable and workforce projects.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Entitlement/code research assistant + the knowledge graph.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D — The Master-Planned-Community Landowner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Highest-value, less-frequent buyers — large land holdings needing planning and design vision.</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Planning heritage, yield/feasibility credibility, and a firm that can carry a vision to entitlement.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AI-assisted yield and feasibility studies that accelerate the early planning stage (human-led).</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My AI planning support + Danielian’s 57-year planning legacy, made searchable.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E — The Public Agency / Municipality</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Planning and entitlement-adjacent buyers — cities and agencies shaping policy and community plans.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policy-fluent partner who speaks the language of current housing law and community process.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Policy-fluent authority content and entitlement narratives drafted from a strong starting point.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authority engine + entitlement research assistant.</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Inside Danielian, the program reports into a clear set of seats: John Danielian (President) sets direction; Victor Alvarez-Duran (Chief Technology Manager) owns the build; Deborah Muro (Director of Business Development) owns the pursuit engine; Jeff Schmehr (CFO) holds the ROI line; and the senior project managers are the ones who get their hours back.</w:t>
      </w:r>
    </w:p>
    <w:p>
      <w:pPr>
        <w:pStyle w:val="Heading1"/>
        <w:keepNext/>
        <w:pageBreakBefore/>
        <w:spacing w:after="120" w:before="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question is not who has the largest portfolio — Danielian competes well on craft and legacy against any firm in California residential design. It is who can be the fastest and most intelligent on each pursuit. Seen that way, the landscape has an open lane.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433"/>
        <w:gridCol w:w="5243"/>
      </w:tblGrid>
      <w:tr>
        <w:trPr>
          <w:cantSplit/>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Firm</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524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Danielian</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KTGY</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Among the nation’s largest multifamily architecture firms; multi-office, full-service</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scale leader Danielian competes under. Breadth and reach are its edge — speed-per-pursuit is the lane it does not visibly own.</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AO Architects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Among the nation’s largest multifamily A/E firms; Orange County base; relationship-led</w:t>
            </w:r>
          </w:p>
        </w:tc>
        <w:tc>
          <w:tcPr>
            <w:tcW w:type="dxa" w:w="52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local scale rival whose "relationships" positioning mirrors Danielian’s — which means relationships alone no longer differentiate.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William Hezmalhalch (WHA)</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~40-year residential A+P firm; OC, LA, Sacramento, Bay Area</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peer in the same residential architecture-and-planning lane, with deep builder and agency ties.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Bassenian Lagoni / regional peers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 residential specialists</w:t>
            </w:r>
          </w:p>
        </w:tc>
        <w:tc>
          <w:tcPr>
            <w:tcW w:type="dxa" w:w="52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broader competitive set on the same axes Danielian has competed on for decades — portfolio, relationships, scale.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Danielian + Technijian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Same craft, fastest and smartest pursuits</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57 years and 6,353 projects of institutional knowledge, made searchable — turning Danielian’s depth into pursuit speed no larger rival is visibly matching.</w:t>
            </w:r>
          </w:p>
        </w:tc>
      </w:tr>
    </w:tbl>
    <w:p>
      <w:pPr>
        <w:spacing w:after="0" w:before="160"/>
      </w:pPr>
      <w:r>
        <w:t xml:space="preserve"/>
      </w:r>
    </w:p>
    <w:p>
      <w:pPr>
        <w:spacing w:after="80" w:before="120"/>
        <w:jc w:val="center"/>
      </w:pPr>
      <w:r>
        <w:drawing>
          <wp:inline distT="0" distB="0" distL="0" distR="0">
            <wp:extent cx="5715000" cy="3695700"/>
            <wp:effectExtent t="0" r="0" b="0" l="0"/>
            <wp:docPr id="1" name="Competitive Positioning" descr="Competitive Positioning" title="Competitive Positio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95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Positioning: firm scale &amp; reach vs. AI-readiness and pursuit/studio speed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w:t>
            </w:r>
          </w:p>
          <w:p>
            <w:pPr>
              <w:keepNext/>
              <w:keepLines/>
              <w:spacing w:after="60" w:before="40" w:line="300"/>
            </w:pPr>
            <w:r>
              <w:rPr>
                <w:rFonts w:ascii="Open Sans" w:cs="Open Sans" w:eastAsia="Open Sans" w:hAnsi="Open Sans"/>
                <w:color w:val="59595B"/>
                <w:sz w:val="20"/>
                <w:szCs w:val="20"/>
              </w:rPr>
              <w:t xml:space="preserve">Danielian’s rivals compete on scale, portfolio, and relationships — the same axes Danielian has competed on for 57 years. None is visibly winning on "fastest, most intelligent pursuit and entitlement turnaround."</w:t>
            </w:r>
          </w:p>
          <w:p>
            <w:pPr>
              <w:keepNext/>
              <w:keepLines/>
              <w:spacing w:after="60" w:before="40" w:line="300"/>
            </w:pPr>
            <w:r>
              <w:rPr>
                <w:rFonts w:ascii="Open Sans" w:cs="Open Sans" w:eastAsia="Open Sans" w:hAnsi="Open Sans"/>
                <w:color w:val="59595B"/>
                <w:sz w:val="20"/>
                <w:szCs w:val="20"/>
              </w:rPr>
              <w:t xml:space="preserve">Danielian is smaller than the scale leaders, but it can be faster and smarter per pursuit — and that plays to its actual advantage: more institutional knowledge per person than a younger, larger firm, finally made usable by AI.</w:t>
            </w:r>
          </w:p>
          <w:p>
            <w:pPr>
              <w:keepNext w:val="false"/>
              <w:keepLines/>
              <w:spacing w:after="60" w:before="40" w:line="300"/>
            </w:pPr>
            <w:r>
              <w:rPr>
                <w:rFonts w:ascii="Open Sans" w:cs="Open Sans" w:eastAsia="Open Sans" w:hAnsi="Open Sans"/>
                <w:color w:val="59595B"/>
                <w:sz w:val="20"/>
                <w:szCs w:val="20"/>
              </w:rPr>
              <w:t xml:space="preserve">That is a lane a firm can take without abandoning what it is. It is the same studio, the same craft — just faster to the right answer.</w:t>
            </w:r>
          </w:p>
        </w:tc>
      </w:tr>
    </w:tbl>
    <w:p>
      <w:pPr>
        <w:pStyle w:val="Heading1"/>
        <w:keepNext/>
        <w:pageBreakBefore/>
        <w:spacing w:after="120" w:before="0" w:line="240"/>
      </w:pPr>
      <w:r>
        <w:rPr>
          <w:rFonts w:ascii="Open Sans" w:cs="Open Sans" w:eastAsia="Open Sans" w:hAnsi="Open Sans"/>
          <w:color w:val="FFFFFF"/>
          <w:sz w:val="2"/>
          <w:szCs w:val="2"/>
        </w:rPr>
        <w:t xml:space="preserve">06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pitch, one thing should be clear: the AI plays in this strategy are not concepts — they are patterns Technijian has already built and runs in production, including for clients in Danielian’s own residential-construction market. We map them to Danielian’s workflows below. One honest boundary, stated plainly: Technijian has not designed a building or run an architecture studio’s production pipeline — the design craft is Danielian’s. What Technijian has built is the AI and IT layer around firms that build and sell housing, and that is exactly what this section proves.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AI Pursuit Intelligence for a Residential Builder</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For a luxury custom-home builder in Orange County’s coastal communities, Technijian built a multi-agent AI system that watches the signals that precede a permit — just-sold records, geotech, pre-applications, ARC filings, story poles, and Design Review Board agendas — across 10 permit jurisdictions and 60+ HOA architectural-review committees, replacing 15–20 hours a week of manual portal-reading. On day one of production, one 75-minute run surfaced 24 enriched, scored Tier-1 leads, each resolved to a parcel with owner, value, and contact.</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This is the closest possible proof to Danielian’s growth front — same market, same public-records terrain (permits, DRB/ARC agendas, story poles), same goal of being in the conversation before a developer commits. Pointed at Danielian’s named developer universe, the same engine monitors land acquisitions, entitlement filings, and project pipelines and produces pre-meeting account dossiers against the firm’s existing target list.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AI Document Intelligence (proposals: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For a regulated financial-services client, Technijian built a document-intelligence system that turned questionnaire and RFP work from days into minutes, cutting manual review by roughly 60–80% while a multi-model peer-review step kept the output accurate.</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Architecture pursuits are document-heavy — SOQs, RFQs, project sheets, resumes, references. The same engine assembles a tailored pursuit response in hours and auto-matches the right past projects and resumes to each opportunity.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Institutional Knowledge Graph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builds knowledge systems that make years of files, decisions, and institutional memory searchable in plain language — so the right precedent surfaces on demand instead of living in someone’s head.</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Danielian’s 57-year, 6,353-project archive is its most underused asset. "Find every wide-shallow-lot BTR we did near transit in a density-bonus jurisdiction" becomes a question with an answer — powering both pursuits and design precedent, and locking in knowledge as senior principals hand off the firm.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Multi-Agent SEO + AEO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runs a multi-agent platform (Claude, GPT-4o, and Gemini coordinated through MCP, with SEMrush, GA4, and Perplexity) that builds authority content engineered to be cited by both search engines and AI answer engines.</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Aimed at the housing-policy questions developers actually ask — SB 79, ADU rules, BTR feasibility — this makes Danielian the cited expert when a developer researches. It is authority for named buyers, not broad lead generation.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Two anonymized Technijian engagements in the construction sector show the pattern on real work — one on the growth front, one on the IT foundation a firmwide AI rollout sits on. Both are described by scope and effort only; client-identifying detail is stripped.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4290"/>
        <w:gridCol w:w="2146"/>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Engagement</w:t>
            </w:r>
          </w:p>
        </w:tc>
        <w:tc>
          <w:tcPr>
            <w:tcW w:type="dxa" w:w="42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Technijian did</w:t>
            </w:r>
          </w:p>
        </w:tc>
        <w:tc>
          <w:tcPr>
            <w:tcW w:type="dxa" w:w="21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Scope</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Generation — Luxury Home Builder (OC coastal)</w:t>
            </w:r>
          </w:p>
        </w:tc>
        <w:tc>
          <w:tcPr>
            <w:tcW w:type="dxa" w:w="42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system across 7 signal layers, 10 permit jurisdictions, and 60+ HOA committees; 24 enriched Tier-1 leads in a single 75-minute run</w:t>
            </w:r>
          </w:p>
        </w:tc>
        <w:tc>
          <w:tcPr>
            <w:tcW w:type="dxa" w:w="21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7 layers · 10 jurisdictions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Datacenter Migration &amp; Azure AD Hybrid — Construction Contractor</w:t>
            </w:r>
          </w:p>
        </w:tc>
        <w:tc>
          <w:tcPr>
            <w:tcW w:type="dxa" w:w="42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Moved core identity to a hosted datacenter, stood up live Azure AD sync for HQ/field/remote, decommissioned 4 legacy servers with zero auth outage</w:t>
            </w:r>
          </w:p>
        </w:tc>
        <w:tc>
          <w:tcPr>
            <w:tcW w:type="dxa" w:w="21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89 hrs · 3 phases</w:t>
            </w:r>
          </w:p>
        </w:tc>
      </w:tr>
    </w:tbl>
    <w:p>
      <w:pPr>
        <w:spacing w:after="140" w:before="60" w:line="320"/>
        <w:jc w:val="both"/>
      </w:pPr>
      <w:r>
        <w:rPr>
          <w:rFonts w:ascii="Open Sans" w:cs="Open Sans" w:eastAsia="Open Sans" w:hAnsi="Open Sans"/>
          <w:b w:val="false"/>
          <w:bCs w:val="false"/>
          <w:i/>
          <w:iCs/>
          <w:color w:val="59595B"/>
          <w:sz w:val="18"/>
          <w:szCs w:val="18"/>
        </w:rPr>
        <w:t xml:space="preserve">The lead-generation engagement is the same market and the same public-records terrain as Danielian’s developer pursuits. The infrastructure engagement is the kind of secure, hybrid foundation a three-office firm needs before rolling AI out firmwide. Neither is an architecture-design build — that craft stays with Danielian.</w:t>
      </w:r>
    </w:p>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pursuits, authority content, and the knowledge graph: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on a proposal, compliance-critical answers,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pursuit copy, outreach personalization, summarization, precedent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project and parcel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Danielian pays premium-model prices only for the small slice of work that warrants them — typically a 60–80% lower run cost than routing everything to one top-tier model, with no quality loss where it counts. A single SOQ section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07  Understanding AI — A Field Guide for Danielian Associates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Understanding AI — A Field Guide for Danielian Associates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strategy easy to evaluate. No jargon, no hype — just what AI is, where Danielian sits today, how to adopt it without risk, and what comparable organizations are already doing. The goal is that John, Victor, Deborah, and the leadership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"assemble this SOQ from the booking brief, the matched past projects, and the right resumes."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named developer universe and flag the accounts worth a pursuit this quarter."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Danielian starts with simple automations that pay off in the first quarter — proposal assembly, precedent search — and adds autonomous agents only where the value is proven, which is exactly how the roadmap in this strategy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Danielian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firms — including Danielian — sit at the first or second rung of a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Danielian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named Chief Technology Manager and early tools exist, but AI is not yet woven into pursuits, the archive, or production</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proposals, precedent search, entitlement research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the studio with governance and Scorecard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firm pursues, designs-around,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Danielian is well-positioned: a named Chief Technology Manager and an EOS operating system already put it at the Emerging stage. This strategy is the plan to reach Operational — AI working in the pursuit engine and inside the studio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design firm handling client and entitlement material,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compliance-bound — AI drafts, a licensed professional approves; no AI output is ever stamped</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material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client briefs, entitlement filings, and the project archive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and governance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set as an EOS Scorecard item,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Design and engineering firms: document-heavy practices are turning multi-day proposal, SOQ, and qualification assembly into a minutes-long, reviewable draft — responding to more pursuits with the same team.</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Professional-services studios: firms with decades of project history are making that archive searchable in plain language, so the right precedent surfaces on demand instead of living in a retiring principal’s memory.</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relationship-led B2B: account-based firms are using signal monitoring to know when a named buyer is in-market — capturing pursuit timing competitors never see.</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Danielian’s own numbers would be confirmed in discovery. Technijian’s specific, measured results from prior builds appear in Section 06 (Capability Proof).</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Danielian Pursuit Lead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pursuit lead learns an RFQ is due, hunts through folders and senior PMs’ memories for the right past projects, re-keys resumes and references, rebuilds project sheets by hand, and assembles the qualifications package over several days — pulling licensed architects off design to help.</w:t>
            </w:r>
          </w:p>
          <w:p>
            <w:pPr>
              <w:keepNext w:val="false"/>
              <w:keepLines/>
              <w:spacing w:after="60" w:before="40" w:line="300"/>
            </w:pPr>
            <w:r>
              <w:rPr>
                <w:rFonts w:ascii="Open Sans" w:cs="Open Sans" w:eastAsia="Open Sans" w:hAnsi="Open Sans"/>
                <w:color w:val="59595B"/>
                <w:sz w:val="20"/>
                <w:szCs w:val="20"/>
              </w:rPr>
              <w:t xml:space="preserve">WITH AI: The pursuit brief drops into the system; an AI assistant proposes precedent-matched projects from the 6,353-project archive, drafts the SOQ sections and tailored resumes, and returns an assembled package in hours; the pursuit lead and principal review, sharpen, and approve. The studio’s knowledge is captured in a system, so the same standard holds across Orange County, Los Angeles, and Nashville and survives a principal’s retirement.</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Danielian assembles, secures, and governs everything — and owns the three risks above alone, on top of running a studio</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in this market and CISSP-led security, plugged into the Chief Technology Manager seat that already exists</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08  How AI Transforms Danielian’s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How AI Transforms Danielian’s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and because this is an account-based business, every motion aims at named buyers rather than a broad funnel. AI sits underneath the human relationship layer — it surfaces the right developers, arms the pursuit, and removes the non-design drag — but the trust between Danielian and a developer, and the craft of the design itself, are what win and keep the work. Stating that plainly is the point.</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theoretical. The same outbound motion shown below already runs in production for a residential builder in this market — surfacing 24 enriched, scored Tier-1 leads in a single 75-minute run by watching the permit, DRB/ARC, and just-sold signals months before a project reaches the open market (see Section 06). Pointed at Danielian’s named developer universe, it becomes pursuit timing no larger rival is visibly matching.</w:t>
      </w:r>
    </w:p>
    <w:p>
      <w:pPr>
        <w:spacing w:after="0" w:before="160"/>
      </w:pPr>
      <w:r>
        <w:t xml:space="preserve"/>
      </w:r>
    </w:p>
    <w:p>
      <w:pPr>
        <w:spacing w:after="80" w:before="120"/>
        <w:jc w:val="center"/>
      </w:pPr>
      <w:r>
        <w:drawing>
          <wp:inline distT="0" distB="0" distL="0" distR="0">
            <wp:extent cx="5715000" cy="2400300"/>
            <wp:effectExtent t="0" r="0" b="0" l="0"/>
            <wp:docPr id="1" name="The Danielian AI Growth + Integration Engine" descr="The Danielian AI Growth + Integration Engine" title="The Danielian AI Growth +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Inbound authority, Outbound pursuit intelligence, Internal knowledge &amp; production — feeding one studio</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tools, mapped to Danielian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246"/>
        <w:gridCol w:w="3931"/>
        <w:gridCol w:w="1873"/>
      </w:tblGrid>
      <w:tr>
        <w:trPr>
          <w:cantSplit/>
          <w:tblHeader/>
        </w:trPr>
        <w:tc>
          <w:tcPr>
            <w:tcW w:type="dxa" w:w="13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Danielian</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the SB 79, ADU, and BTR-feasibility questions developers ask — so Danielian is the cited expert</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Awards &amp; portfolio merchandising</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775+ awards and the project archive into proof that wins the next pursuit</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 proposal automation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SOQ / RFQ / project-sheet assembly from days to hours, precedent-matched per pursuit</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land buys, entitlements, builder pipelines on the named developer universe</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Pre-meeting dossiers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one-page brief on every target before the pursuit meeting</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 graph</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57 years / 6,353 projects, searchable in plain language for pursuits and design</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&amp; code research</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researched starting point on zoning, density-bonus, and ADU pathways per parcel</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My Dev</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Early massing / yield studies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Generative feasibility options the designers choose from — human-in-the-loop</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My Dev</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inbound gap made concrete. When a developer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architecture firm for a transit-oriented multifamily / BTR project in Orange County under SB 79?"</w:t>
            </w:r>
          </w:p>
          <w:p>
            <w:pPr>
              <w:keepNext/>
              <w:keepLines/>
              <w:spacing w:after="60" w:before="40" w:line="300"/>
            </w:pPr>
            <w:r>
              <w:rPr>
                <w:rFonts w:ascii="Open Sans" w:cs="Open Sans" w:eastAsia="Open Sans" w:hAnsi="Open Sans"/>
                <w:color w:val="59595B"/>
                <w:sz w:val="20"/>
                <w:szCs w:val="20"/>
              </w:rPr>
              <w:t xml:space="preserve">TODAY — the AI assistant answers with whichever firms have the strongest content and third-party signals it can read: it names a couple of the larger multi-office firms and a planning resource or two, and does NOT mention Danielian — even though Danielian has 57 years, 6,353 projects, and the wide-shallow-lot and middle-housing heritage that fits this exact question. Danielian is invisible at the moment a developer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Danielian as a cited option ("Danielian Associates is a residential architecture and planning firm with deep multifamily and BTR experience and a track record in transit-adjacent and middle-housing design…"), with the authority content and project archive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not a captured screenshot; the live result is part of the Nexus Assess baseline.)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licensed architects and planners — it does not design, and it does not stamp. It removes the non-design drag: proposal assembly, precedent and code search, knowledge retrieval, and marketing production.</w:t>
            </w:r>
          </w:p>
          <w:p>
            <w:pPr>
              <w:keepNext/>
              <w:keepLines/>
              <w:spacing w:after="60" w:before="40" w:line="300"/>
            </w:pPr>
            <w:r>
              <w:rPr>
                <w:rFonts w:ascii="Open Sans" w:cs="Open Sans" w:eastAsia="Open Sans" w:hAnsi="Open Sans"/>
                <w:color w:val="59595B"/>
                <w:sz w:val="20"/>
                <w:szCs w:val="20"/>
              </w:rPr>
              <w:t xml:space="preserve">On the growth side, AI supports the relationship layer Danielian has built over 57 years; it does not replace referrals, trust, or the in-person pursuit. It makes the firm faster and better-informed on the accounts it already chases.</w:t>
            </w:r>
          </w:p>
          <w:p>
            <w:pPr>
              <w:keepNext w:val="false"/>
              <w:keepLines/>
              <w:spacing w:after="60" w:before="40" w:line="300"/>
            </w:pPr>
            <w:r>
              <w:rPr>
                <w:rFonts w:ascii="Open Sans" w:cs="Open Sans" w:eastAsia="Open Sans" w:hAnsi="Open Sans"/>
                <w:color w:val="59595B"/>
                <w:sz w:val="20"/>
                <w:szCs w:val="20"/>
              </w:rPr>
              <w:t xml:space="preserve">Every play is built on a secure IT and governance foundation, with an AI-use policy so the studio adopts these tools safely and consistently.</w:t>
            </w:r>
          </w:p>
        </w:tc>
      </w:tr>
    </w:tbl>
    <w:p>
      <w:pPr>
        <w:pStyle w:val="Heading1"/>
        <w:keepNext/>
        <w:pageBreakBefore/>
        <w:spacing w:after="120" w:before="0" w:line="240"/>
      </w:pPr>
      <w:r>
        <w:rPr>
          <w:rFonts w:ascii="Open Sans" w:cs="Open Sans" w:eastAsia="Open Sans" w:hAnsi="Open Sans"/>
          <w:color w:val="FFFFFF"/>
          <w:sz w:val="2"/>
          <w:szCs w:val="2"/>
        </w:rPr>
        <w:t xml:space="preserve">09  The EOS Integration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09  The EOS Integration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Danielian runs on EOS — Rocks, the Level-10 cadence, the Scorecard, the Accountability Chart. That is an advantage: it means an AI program can be installed in the firm’s own operating language rather than bolted on as a side project. We do not propose "digital transformation." We propose a quarter of AI Rocks with measurable Scorecard metrics, owned by the seats that already exist.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Rock (quarterly)</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Owner / seat</w:t>
            </w:r>
          </w:p>
        </w:tc>
        <w:tc>
          <w:tcPr>
            <w:tcW w:type="dxa" w:w="44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Scorecard metric it moves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proposal automation on live pursuits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Deborah Muro (BD)</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Hours-to-proposal; pursuits responded to per quarter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institutional knowledge graph (seed corpus)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Victor Alvarez-Duran (CTM)</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Precedent-search time; reuse rate on pursuits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authority/AEO content program</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BD + marketing</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developer inquiries; AI-answer citations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 the AI-use policy + staff training</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CTM + President</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of staff trained; tools adopted firmwide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Establish the ROI Scorecard for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Jeff Schmehr (CFO)</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win rate; billable hours recovered; utilization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EOS Makes This Easier</w:t>
            </w:r>
          </w:p>
          <w:p>
            <w:pPr>
              <w:keepNext/>
              <w:keepLines/>
              <w:spacing w:after="60" w:before="40" w:line="300"/>
            </w:pPr>
            <w:r>
              <w:rPr>
                <w:rFonts w:ascii="Open Sans" w:cs="Open Sans" w:eastAsia="Open Sans" w:hAnsi="Open Sans"/>
                <w:color w:val="59595B"/>
                <w:sz w:val="20"/>
                <w:szCs w:val="20"/>
              </w:rPr>
              <w:t xml:space="preserve">EOS firms already think in measurable accountability, so the ROI and KPI framing of this plan lands naturally — there is no culture gap to cross first.</w:t>
            </w:r>
          </w:p>
          <w:p>
            <w:pPr>
              <w:keepNext/>
              <w:keepLines/>
              <w:spacing w:after="60" w:before="40" w:line="300"/>
            </w:pPr>
            <w:r>
              <w:rPr>
                <w:rFonts w:ascii="Open Sans" w:cs="Open Sans" w:eastAsia="Open Sans" w:hAnsi="Open Sans"/>
                <w:color w:val="59595B"/>
                <w:sz w:val="20"/>
                <w:szCs w:val="20"/>
              </w:rPr>
              <w:t xml:space="preserve">The Chief Technology Manager almost certainly already owns a tech Rock. Technijian becomes the integration partner that helps land it — bringing the strategy, the build, and the governance so an internal team of one is not carrying it alone.</w:t>
            </w:r>
          </w:p>
          <w:p>
            <w:pPr>
              <w:keepNext w:val="false"/>
              <w:keepLines/>
              <w:spacing w:after="60" w:before="40" w:line="300"/>
            </w:pPr>
            <w:r>
              <w:rPr>
                <w:rFonts w:ascii="Open Sans" w:cs="Open Sans" w:eastAsia="Open Sans" w:hAnsi="Open Sans"/>
                <w:color w:val="59595B"/>
                <w:sz w:val="20"/>
                <w:szCs w:val="20"/>
              </w:rPr>
              <w:t xml:space="preserve">Each quarter, the AI Rocks produce Scorecard movement the leadership team already reviews — so the program proves itself in the meeting cadence the firm already runs.</w:t>
            </w:r>
          </w:p>
        </w:tc>
      </w:tr>
    </w:tbl>
    <w:p>
      <w:pPr>
        <w:pStyle w:val="Heading1"/>
        <w:keepNext/>
        <w:pageBreakBefore/>
        <w:spacing w:after="120" w:before="0" w:line="240"/>
      </w:pPr>
      <w:r>
        <w:rPr>
          <w:rFonts w:ascii="Open Sans" w:cs="Open Sans" w:eastAsia="Open Sans" w:hAnsi="Open Sans"/>
          <w:color w:val="FFFFFF"/>
          <w:sz w:val="2"/>
          <w:szCs w:val="2"/>
        </w:rPr>
        <w:t xml:space="preserve">10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investment below is built land-and-expand: a small, easy-to-approve entry that pays for itself on the pursuit and efficiency lift alone, and a clearly-labeled later expansion that builds the full engine once the entry proves out. Every figure is an estimate that calibrates to Danielian’s real numbers — pursuit volume, win rate, and hours-to-proposal — at a discovery call.</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the program moves (KPI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980"/>
        <w:gridCol w:w="1980"/>
        <w:gridCol w:w="2340"/>
      </w:tblGrid>
      <w:tr>
        <w:trPr>
          <w:cantSplit/>
          <w:tblHeader/>
        </w:trPr>
        <w:tc>
          <w:tcPr>
            <w:tcW w:type="dxa" w:w="30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9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Today (estimated)</w:t>
            </w:r>
          </w:p>
        </w:tc>
        <w:tc>
          <w:tcPr>
            <w:tcW w:type="dxa" w:w="19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With the program</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Lever</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to assemble a pursuit / SOQ</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days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hours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automation</w:t>
            </w:r>
          </w:p>
        </w:tc>
      </w:tr>
      <w:tr>
        <w:trPr>
          <w:cantSplit/>
        </w:trPr>
        <w:tc>
          <w:tcPr>
            <w:tcW w:type="dxa" w:w="3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win rate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baseline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points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 + account intelligence</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Precedent / knowledge search time</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hours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minutes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graph</w:t>
            </w:r>
          </w:p>
        </w:tc>
      </w:tr>
      <w:tr>
        <w:trPr>
          <w:cantSplit/>
        </w:trPr>
        <w:tc>
          <w:tcPr>
            <w:tcW w:type="dxa" w:w="3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Billable design hours recovered / mo</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tens of hrs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Less non-design drag</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developer inquiries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baseline</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rising</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r>
    </w:tbl>
    <w:p>
      <w:pPr>
        <w:spacing w:after="140" w:before="60" w:line="320"/>
        <w:jc w:val="both"/>
      </w:pPr>
      <w:r>
        <w:rPr>
          <w:rFonts w:ascii="Open Sans" w:cs="Open Sans" w:eastAsia="Open Sans" w:hAnsi="Open Sans"/>
          <w:b w:val="false"/>
          <w:bCs w:val="false"/>
          <w:i/>
          <w:iCs/>
          <w:color w:val="59595B"/>
          <w:sz w:val="18"/>
          <w:szCs w:val="18"/>
        </w:rPr>
        <w:t xml:space="preserve">Baselines read "estimated" on purpose — discovery replaces every one with Danielian’s actual figures. The point is the direction and the levers, which are concrete.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 The 90-Day AI Pursuit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sets the AI program as an EOS Rock, stands up the AEO authority foundation, and proves the pursuit and efficiency lift on one live RFQ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 Readiness</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leadership session that sets the AI program as EOS Rocks and a readiness baseline (one-time)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program lead — strategy, governance, AI-use policy, and the pursuit-automation pilot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~$24,000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Authority / AEO foundation</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GEO/authority content on the housing-policy questions developers ask; the inbound foundation</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Prove the pursuit + efficiency lift, no large build</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~$41,000</w:t>
            </w:r>
          </w:p>
        </w:tc>
      </w:tr>
    </w:tbl>
    <w:p>
      <w:pPr>
        <w:spacing w:after="140" w:before="60" w:line="320"/>
        <w:jc w:val="both"/>
      </w:pPr>
      <w:r>
        <w:rPr>
          <w:rFonts w:ascii="Open Sans" w:cs="Open Sans" w:eastAsia="Open Sans" w:hAnsi="Open Sans"/>
          <w:b w:val="false"/>
          <w:bCs w:val="false"/>
          <w:i/>
          <w:iCs/>
          <w:color w:val="59595B"/>
          <w:sz w:val="18"/>
          <w:szCs w:val="18"/>
        </w:rPr>
        <w:t xml:space="preserve">My SEO is shown at its published Tier-3 authority rate. My AI advisory and workshop figures are estimates confirmed at quote. The fuller program below is the expansion, not the ask.</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the proposal-automation pilot demonstrably cuts hours-to-proposal on at least one live Danielian pursuit — a concrete before/after the BD team can see and the CFO can score.</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 no lock-in. If the pilot has not hit that metric by day 90, you are under no obligation to continue, and we will tell you honestly whether it is worth continuing. Danielian carries the upside, not the risk.</w:t>
            </w:r>
          </w:p>
        </w:tc>
      </w:tr>
    </w:tbl>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Expansion — once the entry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Institutional Knowledge Graph (build)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 the 57-year / 6,353-project archive searchable; seed corpus + production rollout</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Account Intelligence</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monitoring + pre-meeting dossiers on the named developer universe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~$18,000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Entitlement / Research Assistant (build)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research assistant for zoning, density-bonus, and ADU pathways per parcel</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Compliance — Foundation (as needed)</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Secure IT + AI-governance foundation for firmwide, three-office rollout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assessment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complete program — built after the entry proves the lift</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scoped at discovery</w:t>
            </w:r>
          </w:p>
        </w:tc>
      </w:tr>
    </w:tbl>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 modeled against the entry</w:t>
      </w:r>
    </w:p>
    <w:p>
      <w:pPr>
        <w:spacing w:after="140" w:before="0" w:line="320"/>
        <w:jc w:val="both"/>
      </w:pPr>
      <w:r>
        <w:rPr>
          <w:rFonts w:ascii="Open Sans" w:cs="Open Sans" w:eastAsia="Open Sans" w:hAnsi="Open Sans"/>
          <w:b w:val="false"/>
          <w:bCs w:val="false"/>
          <w:i w:val="false"/>
          <w:iCs w:val="false"/>
          <w:color w:val="59595B"/>
          <w:sz w:val="22"/>
          <w:szCs w:val="22"/>
        </w:rPr>
        <w:t xml:space="preserve">We model the return against the small entry program, so the ratio is honest and the entry is an easy yes. Read the expected case first: a single additional pursuit won, plus the studio hours the automation returns, clears the entry cost several times over. The expansion opens larger gains this entry ratio does not even count.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Downside-Protected</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Likely (expected)</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pursuits won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2–3</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Studio hours recovered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 hrs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~300 hrs</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 hrs</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recovered capacity*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+$22,500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+$75,000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additional pursuit wins**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+$60,000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Y1 value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+$22,500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+$105,000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+$225,000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pays for itself</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~2.6×</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~5.5×</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Recovered studio hours valued at a conservative blended internal rate (~$150/hr). ** Value of an additional pursuit win is modeled conservatively as design-fee contribution, not total project value; one mid-size residential pursuit is worth well more than the figure shown. All numbers are estimates that calibrate to Danielian’s real pursuit economics at discovery — projected, not guaranteed.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to Read This Range</w:t>
            </w:r>
          </w:p>
          <w:p>
            <w:pPr>
              <w:keepNext/>
              <w:keepLines/>
              <w:spacing w:after="60" w:before="40" w:line="300"/>
            </w:pPr>
            <w:r>
              <w:rPr>
                <w:rFonts w:ascii="Open Sans" w:cs="Open Sans" w:eastAsia="Open Sans" w:hAnsi="Open Sans"/>
                <w:color w:val="59595B"/>
                <w:sz w:val="20"/>
                <w:szCs w:val="20"/>
              </w:rPr>
              <w:t xml:space="preserve">The Downside-Protected case assumes the firm wins zero additional pursuits in Year 1. Even then, the hours the automation returns to billable design cover the entry — the program pays for itself on efficiency alone.</w:t>
            </w:r>
          </w:p>
          <w:p>
            <w:pPr>
              <w:keepNext/>
              <w:keepLines/>
              <w:spacing w:after="60" w:before="40" w:line="300"/>
            </w:pPr>
            <w:r>
              <w:rPr>
                <w:rFonts w:ascii="Open Sans" w:cs="Open Sans" w:eastAsia="Open Sans" w:hAnsi="Open Sans"/>
                <w:color w:val="59595B"/>
                <w:sz w:val="20"/>
                <w:szCs w:val="20"/>
              </w:rPr>
              <w:t xml:space="preserve">The Likely case (~2.6×) counts a single additional pursuit win plus the recovered hours. For a firm that competes for far more than one pursuit a year, that is a conservative expectation.</w:t>
            </w:r>
          </w:p>
          <w:p>
            <w:pPr>
              <w:keepNext w:val="false"/>
              <w:keepLines/>
              <w:spacing w:after="60" w:before="40" w:line="300"/>
            </w:pPr>
            <w:r>
              <w:rPr>
                <w:rFonts w:ascii="Open Sans" w:cs="Open Sans" w:eastAsia="Open Sans" w:hAnsi="Open Sans"/>
                <w:color w:val="59595B"/>
                <w:sz w:val="20"/>
                <w:szCs w:val="20"/>
              </w:rPr>
              <w:t xml:space="preserve">The real economics sit above this table: the expansion — the knowledge graph, account intelligence, and entitlement research — compounds across every pursuit and every office, which the entry ratio does not count.</w:t>
            </w:r>
          </w:p>
        </w:tc>
      </w:tr>
    </w:tbl>
    <w:p>
      <w:pPr>
        <w:pStyle w:val="Heading1"/>
        <w:keepNext/>
        <w:pageBreakBefore/>
        <w:spacing w:after="120" w:before="0" w:line="240"/>
      </w:pPr>
      <w:r>
        <w:rPr>
          <w:rFonts w:ascii="Open Sans" w:cs="Open Sans" w:eastAsia="Open Sans" w:hAnsi="Open Sans"/>
          <w:color w:val="FFFFFF"/>
          <w:sz w:val="2"/>
          <w:szCs w:val="2"/>
        </w:rPr>
        <w:t xml:space="preserve">11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11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is paced for a busy studio: land the entry fast, prove the pursuit and efficiency lift on real work, then scale firmwide across Orange County, Los Angeles, and Nashville. No phase asks Danielian to absorb more than it comfortably can while still running its business — and each phase maps to an EOS quarter.</w:t>
      </w:r>
    </w:p>
    <w:p>
      <w:pPr>
        <w:spacing w:after="0" w:before="160"/>
      </w:pPr>
      <w:r>
        <w:t xml:space="preserve"/>
      </w:r>
    </w:p>
    <w:p>
      <w:pPr>
        <w:spacing w:after="80" w:before="120"/>
        <w:jc w:val="center"/>
      </w:pPr>
      <w:r>
        <w:drawing>
          <wp:inline distT="0" distB="0" distL="0" distR="0">
            <wp:extent cx="5905500" cy="2209800"/>
            <wp:effectExtent t="0" r="0" b="0" l="0"/>
            <wp:docPr id="1"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9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Foundation (0–90 days) → Pursuit Engine (90–180) → Firmwide Scale (180–365)</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(0–90 days)</w:t>
      </w:r>
    </w:p>
    <w:p>
      <w:pPr>
        <w:pStyle w:val="ListParagraph"/>
        <w:numPr>
          <w:ilvl w:val="0"/>
          <w:numId w:val="2"/>
        </w:numPr>
        <w:spacing w:after="80" w:before="40" w:line="300"/>
      </w:pPr>
      <w:r>
        <w:rPr>
          <w:rFonts w:ascii="Open Sans" w:cs="Open Sans" w:eastAsia="Open Sans" w:hAnsi="Open Sans"/>
          <w:color w:val="59595B"/>
          <w:sz w:val="22"/>
          <w:szCs w:val="22"/>
        </w:rPr>
        <w:t xml:space="preserve">Run a free Nexus Assess to baseline the IT, security, and Microsoft 365 posture before any firmwide AI rollout.</w:t>
      </w:r>
    </w:p>
    <w:p>
      <w:pPr>
        <w:pStyle w:val="ListParagraph"/>
        <w:numPr>
          <w:ilvl w:val="0"/>
          <w:numId w:val="2"/>
        </w:numPr>
        <w:spacing w:after="80" w:before="40" w:line="300"/>
      </w:pPr>
      <w:r>
        <w:rPr>
          <w:rFonts w:ascii="Open Sans" w:cs="Open Sans" w:eastAsia="Open Sans" w:hAnsi="Open Sans"/>
          <w:color w:val="59595B"/>
          <w:sz w:val="22"/>
          <w:szCs w:val="22"/>
        </w:rPr>
        <w:t xml:space="preserve">Run the Executive AI Workshop and set the AI program as EOS Rocks with Scorecard metrics.</w:t>
      </w:r>
    </w:p>
    <w:p>
      <w:pPr>
        <w:pStyle w:val="ListParagraph"/>
        <w:numPr>
          <w:ilvl w:val="0"/>
          <w:numId w:val="2"/>
        </w:numPr>
        <w:spacing w:after="80" w:before="40" w:line="300"/>
      </w:pPr>
      <w:r>
        <w:rPr>
          <w:rFonts w:ascii="Open Sans" w:cs="Open Sans" w:eastAsia="Open Sans" w:hAnsi="Open Sans"/>
          <w:color w:val="59595B"/>
          <w:sz w:val="22"/>
          <w:szCs w:val="22"/>
        </w:rPr>
        <w:t xml:space="preserve">Stand up the proposal-automation pilot on one live pursuit — a concrete before/after on hours-to-proposal.</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Pursuit Engine (90–180 days)</w:t>
      </w:r>
    </w:p>
    <w:p>
      <w:pPr>
        <w:pStyle w:val="ListParagraph"/>
        <w:numPr>
          <w:ilvl w:val="0"/>
          <w:numId w:val="2"/>
        </w:numPr>
        <w:spacing w:after="80" w:before="40" w:line="300"/>
      </w:pPr>
      <w:r>
        <w:rPr>
          <w:rFonts w:ascii="Open Sans" w:cs="Open Sans" w:eastAsia="Open Sans" w:hAnsi="Open Sans"/>
          <w:color w:val="59595B"/>
          <w:sz w:val="22"/>
          <w:szCs w:val="22"/>
        </w:rPr>
        <w:t xml:space="preserve">Move proposal / SOQ automation into production across the BD team.</w:t>
      </w:r>
    </w:p>
    <w:p>
      <w:pPr>
        <w:pStyle w:val="ListParagraph"/>
        <w:numPr>
          <w:ilvl w:val="0"/>
          <w:numId w:val="2"/>
        </w:numPr>
        <w:spacing w:after="80" w:before="40" w:line="300"/>
      </w:pPr>
      <w:r>
        <w:rPr>
          <w:rFonts w:ascii="Open Sans" w:cs="Open Sans" w:eastAsia="Open Sans" w:hAnsi="Open Sans"/>
          <w:color w:val="59595B"/>
          <w:sz w:val="22"/>
          <w:szCs w:val="22"/>
        </w:rPr>
        <w:t xml:space="preserve">Build the institutional knowledge graph from a seed corpus of the most-reused past projects.</w:t>
      </w:r>
    </w:p>
    <w:p>
      <w:pPr>
        <w:pStyle w:val="ListParagraph"/>
        <w:numPr>
          <w:ilvl w:val="0"/>
          <w:numId w:val="2"/>
        </w:numPr>
        <w:spacing w:after="80" w:before="40" w:line="300"/>
      </w:pPr>
      <w:r>
        <w:rPr>
          <w:rFonts w:ascii="Open Sans" w:cs="Open Sans" w:eastAsia="Open Sans" w:hAnsi="Open Sans"/>
          <w:color w:val="59595B"/>
          <w:sz w:val="22"/>
          <w:szCs w:val="22"/>
        </w:rPr>
        <w:t xml:space="preserve">Turn on account intelligence and pre-meeting dossiers against the named developer universe.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3 — Firmwide Scale (180–365 days)</w:t>
      </w:r>
    </w:p>
    <w:p>
      <w:pPr>
        <w:pStyle w:val="ListParagraph"/>
        <w:numPr>
          <w:ilvl w:val="0"/>
          <w:numId w:val="2"/>
        </w:numPr>
        <w:spacing w:after="80" w:before="40" w:line="300"/>
      </w:pPr>
      <w:r>
        <w:rPr>
          <w:rFonts w:ascii="Open Sans" w:cs="Open Sans" w:eastAsia="Open Sans" w:hAnsi="Open Sans"/>
          <w:color w:val="59595B"/>
          <w:sz w:val="22"/>
          <w:szCs w:val="22"/>
        </w:rPr>
        <w:t xml:space="preserve">Roll the program out across Orange County, Los Angeles, and Nashville.</w:t>
      </w:r>
    </w:p>
    <w:p>
      <w:pPr>
        <w:pStyle w:val="ListParagraph"/>
        <w:numPr>
          <w:ilvl w:val="0"/>
          <w:numId w:val="2"/>
        </w:numPr>
        <w:spacing w:after="80" w:before="40" w:line="300"/>
      </w:pPr>
      <w:r>
        <w:rPr>
          <w:rFonts w:ascii="Open Sans" w:cs="Open Sans" w:eastAsia="Open Sans" w:hAnsi="Open Sans"/>
          <w:color w:val="59595B"/>
          <w:sz w:val="22"/>
          <w:szCs w:val="22"/>
        </w:rPr>
        <w:t xml:space="preserve">Add the entitlement and code research assistant for the planning practice.</w:t>
      </w:r>
    </w:p>
    <w:p>
      <w:pPr>
        <w:pStyle w:val="ListParagraph"/>
        <w:numPr>
          <w:ilvl w:val="0"/>
          <w:numId w:val="2"/>
        </w:numPr>
        <w:spacing w:after="80" w:before="40" w:line="300"/>
      </w:pPr>
      <w:r>
        <w:rPr>
          <w:rFonts w:ascii="Open Sans" w:cs="Open Sans" w:eastAsia="Open Sans" w:hAnsi="Open Sans"/>
          <w:color w:val="59595B"/>
          <w:sz w:val="22"/>
          <w:szCs w:val="22"/>
        </w:rPr>
        <w:t xml:space="preserve">Run AI Rocks on the Scorecard every quarter — the program becomes how the firm operates, not a project.</w:t>
      </w:r>
    </w:p>
    <w:p>
      <w:pPr>
        <w:pStyle w:val="Heading1"/>
        <w:keepNext/>
        <w:pageBreakBefore/>
        <w:spacing w:after="120" w:before="0" w:line="240"/>
      </w:pPr>
      <w:r>
        <w:rPr>
          <w:rFonts w:ascii="Open Sans" w:cs="Open Sans" w:eastAsia="Open Sans" w:hAnsi="Open Sans"/>
          <w:color w:val="FFFFFF"/>
          <w:sz w:val="2"/>
          <w:szCs w:val="2"/>
        </w:rPr>
        <w:t xml:space="preserve">12  Quick Wins — No Commitment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Quick Wins — No Commitment Required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handful of things Danielian can do right away with no contract and no spend — each a genuine improvement on its own, and each a natural on-ramp to the program. The first is the marquee: a complete, no-cost assessment.</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Run a free Nexus Assess</w:t>
      </w:r>
    </w:p>
    <w:p>
      <w:pPr>
        <w:spacing w:after="140" w:before="0" w:line="320"/>
        <w:jc w:val="both"/>
      </w:pPr>
      <w:r>
        <w:rPr>
          <w:rFonts w:ascii="Open Sans" w:cs="Open Sans" w:eastAsia="Open Sans" w:hAnsi="Open Sans"/>
          <w:b w:val="false"/>
          <w:bCs w:val="false"/>
          <w:i w:val="false"/>
          <w:iCs w:val="false"/>
          <w:color w:val="59595B"/>
          <w:sz w:val="22"/>
          <w:szCs w:val="22"/>
        </w:rPr>
        <w:t xml:space="preserve">Nexus Assess is Technijian’s one-time, no-cost IT risk and security assessment — internal and external vulnerability scanning plus a Microsoft 365 review, delivered as a prioritized remediation roadmap that reads like a board memo. For Danielian it doubles as the readiness baseline before any firmwide AI rollout: you see exactly where the studio stands across three offices before committing to anything.</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And four more, no commitment</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Pick one live pursuit for a before/after. </w:t>
      </w:r>
      <w:r>
        <w:rPr>
          <w:rFonts w:ascii="Open Sans" w:cs="Open Sans" w:eastAsia="Open Sans" w:hAnsi="Open Sans"/>
          <w:color w:val="59595B"/>
          <w:sz w:val="22"/>
          <w:szCs w:val="22"/>
        </w:rPr>
        <w:t xml:space="preserve">Let Technijian show the proposal-assembly time on a single real RFQ — the most concrete proof of the highest-value play, with nothing signed.</w:t>
      </w:r>
    </w:p>
    <w:p>
      <w:pPr>
        <w:pStyle w:val="ListParagraph"/>
        <w:numPr>
          <w:ilvl w:val="0"/>
          <w:numId w:val="2"/>
        </w:numPr>
        <w:spacing w:after="80" w:before="40" w:line="300"/>
      </w:pPr>
      <w:r>
        <w:rPr>
          <w:rFonts w:ascii="Open Sans" w:cs="Open Sans" w:eastAsia="Open Sans" w:hAnsi="Open Sans"/>
          <w:b/>
          <w:bCs/>
          <w:color w:val="1A1A2E"/>
          <w:sz w:val="22"/>
          <w:szCs w:val="22"/>
        </w:rPr>
        <w:t xml:space="preserve">Add an "AI at Danielian" Rock to the next EOS quarter. </w:t>
      </w:r>
      <w:r>
        <w:rPr>
          <w:rFonts w:ascii="Open Sans" w:cs="Open Sans" w:eastAsia="Open Sans" w:hAnsi="Open Sans"/>
          <w:color w:val="59595B"/>
          <w:sz w:val="22"/>
          <w:szCs w:val="22"/>
        </w:rPr>
        <w:t xml:space="preserve">Pick one Scorecard metric — hours-to-proposal is the cleanest — and the program already speaks your operating language.</w:t>
      </w:r>
    </w:p>
    <w:p>
      <w:pPr>
        <w:pStyle w:val="ListParagraph"/>
        <w:numPr>
          <w:ilvl w:val="0"/>
          <w:numId w:val="2"/>
        </w:numPr>
        <w:spacing w:after="80" w:before="40" w:line="300"/>
      </w:pPr>
      <w:r>
        <w:rPr>
          <w:rFonts w:ascii="Open Sans" w:cs="Open Sans" w:eastAsia="Open Sans" w:hAnsi="Open Sans"/>
          <w:b/>
          <w:bCs/>
          <w:color w:val="1A1A2E"/>
          <w:sz w:val="22"/>
          <w:szCs w:val="22"/>
        </w:rPr>
        <w:t xml:space="preserve">Tag the ten most-reused past projects. </w:t>
      </w:r>
      <w:r>
        <w:rPr>
          <w:rFonts w:ascii="Open Sans" w:cs="Open Sans" w:eastAsia="Open Sans" w:hAnsi="Open Sans"/>
          <w:color w:val="59595B"/>
          <w:sz w:val="22"/>
          <w:szCs w:val="22"/>
        </w:rPr>
        <w:t xml:space="preserve">They become the seed corpus for the knowledge graph. The project data already exists; this just points at it.</w:t>
      </w:r>
    </w:p>
    <w:p>
      <w:pPr>
        <w:pStyle w:val="ListParagraph"/>
        <w:numPr>
          <w:ilvl w:val="0"/>
          <w:numId w:val="2"/>
        </w:numPr>
        <w:spacing w:after="80" w:before="40" w:line="300"/>
      </w:pPr>
      <w:r>
        <w:rPr>
          <w:rFonts w:ascii="Open Sans" w:cs="Open Sans" w:eastAsia="Open Sans" w:hAnsi="Open Sans"/>
          <w:b/>
          <w:bCs/>
          <w:color w:val="1A1A2E"/>
          <w:sz w:val="22"/>
          <w:szCs w:val="22"/>
        </w:rPr>
        <w:t xml:space="preserve">Publish one authority piece on a 2026 housing-law angle. </w:t>
      </w:r>
      <w:r>
        <w:rPr>
          <w:rFonts w:ascii="Open Sans" w:cs="Open Sans" w:eastAsia="Open Sans" w:hAnsi="Open Sans"/>
          <w:color w:val="59595B"/>
          <w:sz w:val="22"/>
          <w:szCs w:val="22"/>
        </w:rPr>
        <w:t xml:space="preserve">An SB 79 or ADU explainer developers are searching for — the first brick in AI-answer authority.</w:t>
      </w:r>
    </w:p>
    <w:p>
      <w:pPr>
        <w:pStyle w:val="Heading1"/>
        <w:keepNext/>
        <w:pageBreakBefore/>
        <w:spacing w:after="120" w:before="0" w:line="240"/>
      </w:pPr>
      <w:r>
        <w:rPr>
          <w:rFonts w:ascii="Open Sans" w:cs="Open Sans" w:eastAsia="Open Sans" w:hAnsi="Open Sans"/>
          <w:color w:val="FFFFFF"/>
          <w:sz w:val="2"/>
          <w:szCs w:val="2"/>
        </w:rPr>
        <w:t xml:space="preserve">13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Danielian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a marketing partner / handle our own BD.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what works — your relationships and pursuits are yours. We add the layer most firms do not have: AI-search authority (AEO), pursuit and proposal automation, the institutional knowledge graph, and account intelligence on your named developer universe. We sit under your relationship layer,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strategy starts with simple, proven automations that pay back fast — proposal assembly and precedent search — not autonomous "agents" running the studio. We use the simplest tool that works, measure it on a Scorecard,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Will AI replace our designers — or end up stamping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AI augments the licensed architects and planners; it does not design, and it never stamps. It removes the non-design drag — proposal assembly, precedent and code research, knowledge retrieval — so your people spend more time on design and in front of clients. The craft stays Danielian’s.</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client briefs, the project archive, entitlement work — safe?</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material never touches a public AI model; we deploy private, governed systems with human review on anything client-facing or compliance-bound, led by a CISSP-certified team. Data governance is part of the complimentary Nexus Assess in the entry program.</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run lean across three offices. Do we have the bandwidth for this?</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your involvement is a short monthly session plus reviewing what we draft. It plugs into the Chief Technology Manager seat you already have, so no new hire to manage.</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 — and 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roughly $41K for Year 1 at published rates — a fixed-scope 90-day pilot with one success metric (Section 10), month-to-month with no lock-in. If it has not moved hours-to-proposal by day 90, you are under no obligation to continue, and we will tell you honestly whether it is worth it. The full engine is the later expansion,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14  Next Steps &amp; Discovery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Next Steps &amp; Discovery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path from here is short and low-risk. The entry is small on purpose; discovery replaces every estimate in this document with Danielian’s real numbers.</w:t>
      </w:r>
    </w:p>
    <w:p>
      <w:pPr>
        <w:spacing w:after="0" w:before="60"/>
      </w:pPr>
      <w:r>
        <w:t xml:space="preserve"/>
      </w:r>
    </w:p>
    <w:p>
      <w:pPr>
        <w:spacing w:after="70" w:before="30" w:line="300"/>
        <w:ind w:left="520" w:hanging="520"/>
      </w:pPr>
      <w:r>
        <w:rPr>
          <w:rFonts w:ascii="Open Sans" w:cs="Open Sans" w:eastAsia="Open Sans" w:hAnsi="Open Sans"/>
          <w:b/>
          <w:bCs/>
          <w:color w:val="006DB6"/>
          <w:sz w:val="22"/>
          <w:szCs w:val="22"/>
        </w:rPr>
        <w:t xml:space="preserve">1.</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Book a 30-minute walkthrough of this strategy — what fits Danielian, what to cut, and what to sequence first.</w:t>
      </w:r>
    </w:p>
    <w:p>
      <w:pPr>
        <w:spacing w:after="70" w:before="30" w:line="300"/>
        <w:ind w:left="520" w:hanging="520"/>
      </w:pPr>
      <w:r>
        <w:rPr>
          <w:rFonts w:ascii="Open Sans" w:cs="Open Sans" w:eastAsia="Open Sans" w:hAnsi="Open Sans"/>
          <w:b/>
          <w:bCs/>
          <w:color w:val="006DB6"/>
          <w:sz w:val="22"/>
          <w:szCs w:val="22"/>
        </w:rPr>
        <w:t xml:space="preserve">2.</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Schedule the free Nexus Assess — no obligation, and it doubles as the readiness baseline for a firmwide AI rollout.</w:t>
      </w:r>
    </w:p>
    <w:p>
      <w:pPr>
        <w:spacing w:after="70" w:before="30" w:line="300"/>
        <w:ind w:left="520" w:hanging="520"/>
      </w:pPr>
      <w:r>
        <w:rPr>
          <w:rFonts w:ascii="Open Sans" w:cs="Open Sans" w:eastAsia="Open Sans" w:hAnsi="Open Sans"/>
          <w:b/>
          <w:bCs/>
          <w:color w:val="006DB6"/>
          <w:sz w:val="22"/>
          <w:szCs w:val="22"/>
        </w:rPr>
        <w:t xml:space="preserve">3.</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Pick one live pursuit for a proposal-automation before/after — the fastest way to see the highest-value play in action.</w:t>
      </w:r>
    </w:p>
    <w:p>
      <w:pPr>
        <w:spacing w:after="70" w:before="30" w:line="300"/>
        <w:ind w:left="520" w:hanging="520"/>
      </w:pPr>
      <w:r>
        <w:rPr>
          <w:rFonts w:ascii="Open Sans" w:cs="Open Sans" w:eastAsia="Open Sans" w:hAnsi="Open Sans"/>
          <w:b/>
          <w:bCs/>
          <w:color w:val="006DB6"/>
          <w:sz w:val="22"/>
          <w:szCs w:val="22"/>
        </w:rPr>
        <w:t xml:space="preserve">4.</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Set the entry program as the next quarter’s AI Rock, with one Scorecard metric to prove the lift.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Questions (to replace every estimate with a real number)</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pursuits does the firm respond to per year, and what is the current win rate and average hours-to-proposal?</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current tech stack — CAD/BIM (Revit?), CRM or pursuit tracking, and the project-asset library?</w:t>
      </w:r>
    </w:p>
    <w:p>
      <w:pPr>
        <w:pStyle w:val="ListParagraph"/>
        <w:numPr>
          <w:ilvl w:val="0"/>
          <w:numId w:val="2"/>
        </w:numPr>
        <w:spacing w:after="80" w:before="40" w:line="300"/>
      </w:pPr>
      <w:r>
        <w:rPr>
          <w:rFonts w:ascii="Open Sans" w:cs="Open Sans" w:eastAsia="Open Sans" w:hAnsi="Open Sans"/>
          <w:color w:val="59595B"/>
          <w:sz w:val="22"/>
          <w:szCs w:val="22"/>
        </w:rPr>
        <w:t xml:space="preserve">Which developer relationships are the repeat crown jewels — the seed list for account intelligence?</w:t>
      </w:r>
    </w:p>
    <w:p>
      <w:pPr>
        <w:pStyle w:val="ListParagraph"/>
        <w:numPr>
          <w:ilvl w:val="0"/>
          <w:numId w:val="2"/>
        </w:numPr>
        <w:spacing w:after="80" w:before="40" w:line="300"/>
      </w:pPr>
      <w:r>
        <w:rPr>
          <w:rFonts w:ascii="Open Sans" w:cs="Open Sans" w:eastAsia="Open Sans" w:hAnsi="Open Sans"/>
          <w:color w:val="59595B"/>
          <w:sz w:val="22"/>
          <w:szCs w:val="22"/>
        </w:rPr>
        <w:t xml:space="preserve">What AI tools, if any, is the firm already piloting, and who owns them?</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current IT and security posture and Microsoft 365 setup across the three offices?</w:t>
      </w:r>
    </w:p>
    <w:p>
      <w:pPr>
        <w:pStyle w:val="ListParagraph"/>
        <w:numPr>
          <w:ilvl w:val="0"/>
          <w:numId w:val="2"/>
        </w:numPr>
        <w:spacing w:after="80" w:before="40" w:line="300"/>
      </w:pPr>
      <w:r>
        <w:rPr>
          <w:rFonts w:ascii="Open Sans" w:cs="Open Sans" w:eastAsia="Open Sans" w:hAnsi="Open Sans"/>
          <w:color w:val="59595B"/>
          <w:sz w:val="22"/>
          <w:szCs w:val="22"/>
        </w:rPr>
        <w:t xml:space="preserve">How are EOS Rocks set, and what is the timing to propose an AI Rock?</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90"/>
              <w:jc w:val="center"/>
            </w:pPr>
            <w:r>
              <w:rPr>
                <w:rFonts w:ascii="Open Sans" w:cs="Open Sans" w:eastAsia="Open Sans" w:hAnsi="Open Sans"/>
                <w:b/>
                <w:bCs/>
                <w:color w:val="FFFFFF"/>
                <w:sz w:val="26"/>
                <w:szCs w:val="26"/>
              </w:rPr>
              <w:t xml:space="preserve">Two fronts, one local partner — five minutes apart in Irvine.</w:t>
            </w:r>
          </w:p>
          <w:p>
            <w:pPr>
              <w:spacing w:after="90"/>
              <w:jc w:val="center"/>
            </w:pPr>
            <w:r>
              <w:rPr>
                <w:rFonts w:ascii="Open Sans" w:cs="Open Sans" w:eastAsia="Open Sans" w:hAnsi="Open Sans"/>
                <w:b w:val="false"/>
                <w:bCs w:val="false"/>
                <w:color w:val="FFFFFF"/>
                <w:sz w:val="22"/>
                <w:szCs w:val="22"/>
              </w:rPr>
              <w:t xml:space="preserve">Use the Book a Meeting button in my signature to set up a time to discuss this and all the</w:t>
            </w:r>
          </w:p>
          <w:p>
            <w:pPr>
              <w:spacing w:after="90"/>
              <w:jc w:val="center"/>
            </w:pPr>
            <w:r>
              <w:rPr>
                <w:rFonts w:ascii="Open Sans" w:cs="Open Sans" w:eastAsia="Open Sans" w:hAnsi="Open Sans"/>
                <w:b w:val="false"/>
                <w:bCs w:val="false"/>
                <w:color w:val="FFFFFF"/>
                <w:sz w:val="22"/>
                <w:szCs w:val="22"/>
              </w:rPr>
              <w:t xml:space="preserve">AI strategies Technijian is putting into place for itself and its clients.</w:t>
            </w:r>
          </w:p>
          <w:p>
            <w:pPr>
              <w:spacing w:after="0"/>
              <w:jc w:val="center"/>
            </w:pPr>
            <w:r>
              <w:rPr>
                <w:rFonts w:ascii="Open Sans" w:cs="Open Sans" w:eastAsia="Open Sans" w:hAnsi="Open Sans"/>
                <w:b w:val="false"/>
                <w:bCs w:val="false"/>
                <w:color w:val="FFFFFF"/>
                <w:sz w:val="20"/>
                <w:szCs w:val="20"/>
              </w:rPr>
              <w:t xml:space="preserve">Ravi Jain, Technijian  |  rjain@technijian.com  |  949.379.8499  |  technijian.com</w:t>
            </w:r>
          </w:p>
        </w:tc>
      </w:tr>
    </w:tbl>
    <w:p>
      <w:pPr>
        <w:pStyle w:val="Heading1"/>
        <w:keepNext/>
        <w:pageBreakBefore/>
        <w:spacing w:after="120" w:before="0" w:line="240"/>
      </w:pPr>
      <w:r>
        <w:rPr>
          <w:rFonts w:ascii="Open Sans" w:cs="Open Sans" w:eastAsia="Open Sans" w:hAnsi="Open Sans"/>
          <w:color w:val="FFFFFF"/>
          <w:sz w:val="2"/>
          <w:szCs w:val="2"/>
        </w:rPr>
        <w:t xml:space="preserve">15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15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 five minutes from Danielian in the Spectrum — serving small and mid-sized businesses since 2000. We design, build, and operate secure infrastructure with security and compliance built in, and a dedicated team assigned to each client.</w:t>
      </w:r>
    </w:p>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Since 2000</w:t>
            </w:r>
          </w:p>
          <w:p>
            <w:pPr>
              <w:spacing w:after="0"/>
              <w:jc w:val="center"/>
            </w:pPr>
            <w:r>
              <w:rPr>
                <w:rFonts w:ascii="Open Sans" w:cs="Open Sans" w:eastAsia="Open Sans" w:hAnsi="Open Sans"/>
                <w:color w:val="59595B"/>
                <w:sz w:val="17"/>
                <w:szCs w:val="17"/>
              </w:rPr>
              <w:t xml:space="preserve">25+ years in continuous operation</w:t>
            </w:r>
          </w:p>
        </w:tc>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US + India</w:t>
            </w:r>
          </w:p>
          <w:p>
            <w:pPr>
              <w:spacing w:after="0"/>
              <w:jc w:val="center"/>
            </w:pPr>
            <w:r>
              <w:rPr>
                <w:rFonts w:ascii="Open Sans" w:cs="Open Sans" w:eastAsia="Open Sans" w:hAnsi="Open Sans"/>
                <w:color w:val="59595B"/>
                <w:sz w:val="17"/>
                <w:szCs w:val="17"/>
              </w:rPr>
              <w:t xml:space="preserve">24/7 global delivery, no extra cost</w:t>
            </w:r>
          </w:p>
        </w:tc>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AI-native</w:t>
            </w:r>
          </w:p>
          <w:p>
            <w:pPr>
              <w:spacing w:after="0"/>
              <w:jc w:val="center"/>
            </w:pPr>
            <w:r>
              <w:rPr>
                <w:rFonts w:ascii="Open Sans" w:cs="Open Sans" w:eastAsia="Open Sans" w:hAnsi="Open Sans"/>
                <w:color w:val="59595B"/>
                <w:sz w:val="17"/>
                <w:szCs w:val="17"/>
              </w:rPr>
              <w:t xml:space="preserve">Our own agents run in production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services behind this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6786"/>
      </w:tblGrid>
      <w:tr>
        <w:trPr>
          <w:cantSplit/>
          <w:tblHeader/>
        </w:trPr>
        <w:tc>
          <w:tcPr>
            <w:tcW w:type="dxa" w:w="25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7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 in this strategy</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proposal automation, the institutional knowledge graph, and the workshop that sets the program as EOS Rocks</w:t>
            </w:r>
          </w:p>
        </w:tc>
      </w:tr>
      <w:tr>
        <w:trPr>
          <w:cantSplit/>
        </w:trPr>
        <w:tc>
          <w:tcPr>
            <w:tcW w:type="dxa" w:w="25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7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and pre-meeting dossiers on the named developer universe</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AEO content aimed at the housing-policy questions developers ask</w:t>
            </w:r>
          </w:p>
        </w:tc>
      </w:tr>
      <w:tr>
        <w:trPr>
          <w:cantSplit/>
        </w:trPr>
        <w:tc>
          <w:tcPr>
            <w:tcW w:type="dxa" w:w="25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7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entitlement / code research assistant and any custom studio tooling (expansion)</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Compliance</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secure IT and AI-governance foundation for a firmwide, three-office rollout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711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Prepared by</w:t>
            </w:r>
          </w:p>
        </w:tc>
        <w:tc>
          <w:tcPr>
            <w:tcW w:type="dxa" w:w="711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711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711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711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16  Appendix — Sources &amp; Notes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Appendix — Sources &amp; Notes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strategy draws on public sources about Danielian Associates and the residential design market, California housing legislation, and AEC AI-adoption research, plus Technijian’s own service definitions and production AI work. Company figures for Danielian (headcount, pursuit volume, win rate) are public-signal estimates confirmed at discovery.</w:t>
      </w:r>
    </w:p>
    <w:p>
      <w:pPr>
        <w:spacing w:after="0" w:before="6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Danielian Associates corporate site — firm overview, people/leadership, architecture and planning service lines, the Danielian legacy, and contact (60 Corporate Park, Irvine, CA 92606; offices in Orange County, Los Angeles, and Nashville; founded 1968; 6,353 projects, 1M+ units, 775+ awards, 44 states, 15 countries; runs on EOS).</w:t>
      </w:r>
    </w:p>
    <w:p>
      <w:pPr>
        <w:pStyle w:val="ListParagraph"/>
        <w:numPr>
          <w:ilvl w:val="0"/>
          <w:numId w:val="2"/>
        </w:numPr>
        <w:spacing w:after="80" w:before="40" w:line="300"/>
      </w:pPr>
      <w:r>
        <w:rPr>
          <w:rFonts w:ascii="Open Sans" w:cs="Open Sans" w:eastAsia="Open Sans" w:hAnsi="Open Sans"/>
          <w:color w:val="59595B"/>
          <w:sz w:val="22"/>
          <w:szCs w:val="22"/>
        </w:rPr>
        <w:t xml:space="preserve">Leadership: Arthur Danielian (Founder &amp; Chairman), John A. Danielian (President), Brian D. Miller (Senior Principal), Ike Balmaseda (Principal, Urban Planning &amp; Design), Jeff Schmehr (CFO), Victor M. Alvarez-Duran (Chief Technology Manager), Deborah Muro (Director of Business Development), and senior directors / project managers.</w:t>
      </w:r>
    </w:p>
    <w:p>
      <w:pPr>
        <w:pStyle w:val="ListParagraph"/>
        <w:numPr>
          <w:ilvl w:val="0"/>
          <w:numId w:val="2"/>
        </w:numPr>
        <w:spacing w:after="80" w:before="40" w:line="300"/>
      </w:pPr>
      <w:r>
        <w:rPr>
          <w:rFonts w:ascii="Open Sans" w:cs="Open Sans" w:eastAsia="Open Sans" w:hAnsi="Open Sans"/>
          <w:color w:val="59595B"/>
          <w:sz w:val="22"/>
          <w:szCs w:val="22"/>
        </w:rPr>
        <w:t xml:space="preserve">California 2026 housing legislation — SB 79 (transit upzoning; effective July 1, 2026), SB 1211 (up to eight detached ADUs per multifamily lot), SB 543 and AB 1061 (ADU streamlining and SB 9 expansion); HCD data on 60,000+ ADU permits since 2018.</w:t>
      </w:r>
    </w:p>
    <w:p>
      <w:pPr>
        <w:pStyle w:val="ListParagraph"/>
        <w:numPr>
          <w:ilvl w:val="0"/>
          <w:numId w:val="2"/>
        </w:numPr>
        <w:spacing w:after="80" w:before="40" w:line="300"/>
      </w:pPr>
      <w:r>
        <w:rPr>
          <w:rFonts w:ascii="Open Sans" w:cs="Open Sans" w:eastAsia="Open Sans" w:hAnsi="Open Sans"/>
          <w:color w:val="59595B"/>
          <w:sz w:val="22"/>
          <w:szCs w:val="22"/>
        </w:rPr>
        <w:t xml:space="preserve">AEC AI-adoption research (2025–2026) — Deltek Clarity A&amp;E Study (53% AI adoption; 94% increasing usage); industry surveys on the readiness gap (75% expect profitability lift, ~20% feel highly prepared); analyses showing ~40% of design-development tasks automatable.</w:t>
      </w:r>
    </w:p>
    <w:p>
      <w:pPr>
        <w:pStyle w:val="ListParagraph"/>
        <w:numPr>
          <w:ilvl w:val="0"/>
          <w:numId w:val="2"/>
        </w:numPr>
        <w:spacing w:after="80" w:before="40" w:line="300"/>
      </w:pPr>
      <w:r>
        <w:rPr>
          <w:rFonts w:ascii="Open Sans" w:cs="Open Sans" w:eastAsia="Open Sans" w:hAnsi="Open Sans"/>
          <w:color w:val="59595B"/>
          <w:sz w:val="22"/>
          <w:szCs w:val="22"/>
        </w:rPr>
        <w:t xml:space="preserve">Competitive references — KTGY, AO Architects, William Hezmalhalch Architects (WHA), Bassenian Lagoni and regional residential peers; public positioning material.</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service definitions and production AI work — My AI, My AI Lead Gen, My SEO, My Dev, My IT, My Compliance; AI Document Intelligence, institutional knowledge systems, and the multi-agent SEO/AEO platform.</w:t>
      </w:r>
    </w:p>
    <w:p>
      <w:pPr>
        <w:pStyle w:val="ListParagraph"/>
        <w:numPr>
          <w:ilvl w:val="0"/>
          <w:numId w:val="2"/>
        </w:numPr>
        <w:spacing w:after="80" w:before="40" w:line="300"/>
      </w:pPr>
      <w:r>
        <w:rPr>
          <w:rFonts w:ascii="Open Sans" w:cs="Open Sans" w:eastAsia="Open Sans" w:hAnsi="Open Sans"/>
          <w:color w:val="59595B"/>
          <w:sz w:val="22"/>
          <w:szCs w:val="22"/>
        </w:rPr>
        <w:t xml:space="preserve">AI literacy and adoption frameworks (Section 07) — MIT Sloan Management Review (AI literacy: "what AI can do," not how to build it); Anthropic, "Building Effective Agents" (the automation/workflow vs. agent distinction); a widely-used five-stage AI maturity model (consistent with Gartner and Google Cloud AI-adoption frameworks); U.S. NIST AI Risk Management Framework (Govern / Map / Measure / Manage) for responsible-AI controls.</w:t>
      </w:r>
    </w:p>
    <w:p>
      <w:pPr>
        <w:spacing w:after="0" w:before="14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Note on scope: Technijian has not delivered an architecture-specific AI build. The capabilities in this strategy are proven patterns from other document-heavy, regulated fields, mapped to Danielian’s workflows — presented as near-term builds, never as completed architecture work. All projections are estimated and conservative pending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Strategy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314c0617164892a34e533bf5969d65a9224e7ad0.png"/><Relationship Id="rId11" Type="http://schemas.openxmlformats.org/officeDocument/2006/relationships/image" Target="media/c8eceb8c06d90cb9c6dfea6a634153e3e70d68e9.png"/><Relationship Id="rId12" Type="http://schemas.openxmlformats.org/officeDocument/2006/relationships/image" Target="media/55d76f01788646cde693c2d5295808669767bf8d.png"/><Relationship Id="rId13" Type="http://schemas.openxmlformats.org/officeDocument/2006/relationships/image" Target="media/acdcd7ef60f404b641a72b2364d7f3ca18e9f6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2026-06-11T05:53:10.754Z</dcterms:created>
  <dcterms:modified xsi:type="dcterms:W3CDTF">2026-06-11T05:53:10.756Z</dcterms:modified>
</cp:coreProperties>
</file>

<file path=docProps/custom.xml><?xml version="1.0" encoding="utf-8"?>
<Properties xmlns="http://schemas.openxmlformats.org/officeDocument/2006/custom-properties" xmlns:vt="http://schemas.openxmlformats.org/officeDocument/2006/docPropsVTypes"/>
</file>