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5146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14600" cy="523875"/>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2"/>
          <w:szCs w:val="52"/>
        </w:rPr>
        <w:t xml:space="preserve">PACIFIC UTILITY</w:t>
      </w:r>
    </w:p>
    <w:p>
      <w:pPr>
        <w:spacing w:after="80"/>
        <w:jc w:val="center"/>
      </w:pPr>
      <w:r>
        <w:rPr>
          <w:rFonts w:ascii="Open Sans" w:cs="Open Sans" w:eastAsia="Open Sans" w:hAnsi="Open Sans"/>
          <w:b w:val="false"/>
          <w:bCs w:val="false"/>
          <w:color w:val="59595B"/>
          <w:sz w:val="22"/>
          <w:szCs w:val="22"/>
        </w:rPr>
        <w:t xml:space="preserve">Utility Engineering · Wet · Dry · High Voltage · Streetlights  —  Corona, California</w:t>
      </w:r>
    </w:p>
    <w:p>
      <w:pPr>
        <w:spacing w:after="80"/>
        <w:jc w:val="center"/>
      </w:pPr>
      <w:r>
        <w:rPr>
          <w:rFonts w:ascii="Open Sans" w:cs="Open Sans" w:eastAsia="Open Sans" w:hAnsi="Open Sans"/>
          <w:b w:val="false"/>
          <w:bCs w:val="false"/>
          <w:color w:val="006DB6"/>
          <w:sz w:val="40"/>
          <w:szCs w:val="40"/>
        </w:rPr>
        <w:t xml:space="preserve">AI Growth &amp; Integration Strategy</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2026-06-03</w:t>
      </w:r>
    </w:p>
    <w:p>
      <w:pPr>
        <w:spacing w:after="40"/>
        <w:jc w:val="center"/>
      </w:pPr>
      <w:r>
        <w:rPr>
          <w:rFonts w:ascii="Open Sans" w:cs="Open Sans" w:eastAsia="Open Sans" w:hAnsi="Open Sans"/>
          <w:color w:val="59595B"/>
          <w:sz w:val="22"/>
          <w:szCs w:val="22"/>
        </w:rPr>
        <w:t xml:space="preserve">Corona, California  |  pacificutility.com</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for Pacific Utility Installation, Inc.</w:t>
      </w:r>
    </w:p>
    <w:p>
      <w:r>
        <w:br w:type="page"/>
      </w:r>
    </w:p>
    <w:sdt>
      <w:sdtPr>
        <w:alias w:val="Table of Contents"/>
      </w:sdtPr>
      <w:sdtContent>
        <w:p>
          <w:r>
            <w:fldChar w:fldCharType="begin" w:dirty="true"/>
            <w:instrText xml:space="preserve">TOC \h \o "1-1"</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006DB6"/>
                <w:sz w:val="38"/>
                <w:szCs w:val="38"/>
              </w:rPr>
              <w:t xml:space="preserve">1997</w:t>
            </w:r>
          </w:p>
          <w:p>
            <w:pPr>
              <w:spacing w:after="0"/>
              <w:jc w:val="center"/>
            </w:pPr>
            <w:r>
              <w:rPr>
                <w:rFonts w:ascii="Open Sans" w:cs="Open Sans" w:eastAsia="Open Sans" w:hAnsi="Open Sans"/>
                <w:color w:val="59595B"/>
                <w:sz w:val="16"/>
                <w:szCs w:val="16"/>
              </w:rPr>
              <w:t xml:space="preserve">Building Since</w:t>
            </w:r>
          </w:p>
        </w:tc>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F67D4B"/>
                <w:sz w:val="38"/>
                <w:szCs w:val="38"/>
              </w:rPr>
              <w:t xml:space="preserve">5 Trades</w:t>
            </w:r>
          </w:p>
          <w:p>
            <w:pPr>
              <w:spacing w:after="0"/>
              <w:jc w:val="center"/>
            </w:pPr>
            <w:r>
              <w:rPr>
                <w:rFonts w:ascii="Open Sans" w:cs="Open Sans" w:eastAsia="Open Sans" w:hAnsi="Open Sans"/>
                <w:color w:val="59595B"/>
                <w:sz w:val="16"/>
                <w:szCs w:val="16"/>
              </w:rPr>
              <w:t xml:space="preserve">One Source, One Schedule</w:t>
            </w:r>
          </w:p>
        </w:tc>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1EAAC8"/>
                <w:sz w:val="38"/>
                <w:szCs w:val="38"/>
              </w:rPr>
              <w:t xml:space="preserve">Employee-Owned</w:t>
            </w:r>
          </w:p>
          <w:p>
            <w:pPr>
              <w:spacing w:after="0"/>
              <w:jc w:val="center"/>
            </w:pPr>
            <w:r>
              <w:rPr>
                <w:rFonts w:ascii="Open Sans" w:cs="Open Sans" w:eastAsia="Open Sans" w:hAnsi="Open Sans"/>
                <w:color w:val="59595B"/>
                <w:sz w:val="16"/>
                <w:szCs w:val="16"/>
              </w:rPr>
              <w:t xml:space="preserve">ESOP Since 2017</w:t>
            </w:r>
          </w:p>
        </w:tc>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1A1A2E"/>
                <w:sz w:val="38"/>
                <w:szCs w:val="38"/>
              </w:rPr>
              <w:t xml:space="preserve">CA · NV · AZ</w:t>
            </w:r>
          </w:p>
          <w:p>
            <w:pPr>
              <w:spacing w:after="0"/>
              <w:jc w:val="center"/>
            </w:pPr>
            <w:r>
              <w:rPr>
                <w:rFonts w:ascii="Open Sans" w:cs="Open Sans" w:eastAsia="Open Sans" w:hAnsi="Open Sans"/>
                <w:color w:val="59595B"/>
                <w:sz w:val="16"/>
                <w:szCs w:val="16"/>
              </w:rPr>
              <w:t xml:space="preserve">Tri-State Footprint</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Pacific Utility Installation has spent more than twenty-five years building the underground that everything else stands on. Since 1997 the firm has grown from high-voltage cable-pulling in Southern California Edison territory into one of the few contractors that self-performs the whole underground scope — utility engineering, wet utility, dry utility, high voltage, and streetlights and traffic signals — across California, Nevada, and Arizona. It is employee-owned, an ESOP since 2017, and it pioneered the "Applicant Installation" model that lets developers control their own power-infrastructure schedule. The work and the reputation are real. What has not yet been built is the digital and AI engine that makes that reputation findable, that wins more of the right work, and that lets a labor-short team bid more without adding estimators it cannot hire.</w:t>
      </w:r>
    </w:p>
    <w:p>
      <w:pPr>
        <w:spacing w:after="140" w:before="0" w:line="320"/>
        <w:jc w:val="both"/>
      </w:pPr>
      <w:r>
        <w:rPr>
          <w:rFonts w:ascii="Open Sans" w:cs="Open Sans" w:eastAsia="Open Sans" w:hAnsi="Open Sans"/>
          <w:b w:val="false"/>
          <w:bCs w:val="false"/>
          <w:i w:val="false"/>
          <w:iCs w:val="false"/>
          <w:color w:val="59595B"/>
          <w:sz w:val="22"/>
          <w:szCs w:val="22"/>
        </w:rPr>
        <w:t xml:space="preserve">This plan is shared peer-to-peer, value first. Technijian is an AI-native managed-services and technology firm in Irvine; we build the answer-engine visibility, the project-and-permit intelligence, and the secure AI tooling that let a specialist firm compete above its size. The thesis here is specific to this moment in Pacific Utility’s market, and it is the reason to act now rather than next year.</w:t>
      </w:r>
    </w:p>
    <w:p>
      <w:pPr>
        <w:spacing w:after="140" w:before="0" w:line="320"/>
        <w:jc w:val="both"/>
      </w:pPr>
      <w:r>
        <w:rPr>
          <w:rFonts w:ascii="Open Sans" w:cs="Open Sans" w:eastAsia="Open Sans" w:hAnsi="Open Sans"/>
          <w:b w:val="false"/>
          <w:bCs w:val="false"/>
          <w:i w:val="false"/>
          <w:iCs w:val="false"/>
          <w:color w:val="59595B"/>
          <w:sz w:val="22"/>
          <w:szCs w:val="22"/>
        </w:rPr>
        <w:t xml:space="preserve">The market is splitting into two engines moving in opposite directions. Residential development — a core channel for Pacific Utility — is cooling across California, Nevada, and Arizona into 2026. At the same time the grid and public-infrastructure side is in a once-in-a-generation boom: roughly $1.4 trillion of U.S. utility capital spending is forecast for 2025–2030, the largest transmission build ever is underway, and federal programs are pouring into grid undergrounding, EV charging, broadband, and streetlights. Pacific Utility already does the work that boom demands — high voltage, Rule 20 undergrounding, streetlights and signals — and has hired utility leadership to chase it. The opportunity is to rebalance deliberately toward the booming side, and to use AI to win more of it with the team the firm already has.</w:t>
      </w:r>
    </w:p>
    <w:p>
      <w:pPr>
        <w:spacing w:after="140" w:before="0" w:line="320"/>
        <w:jc w:val="both"/>
      </w:pPr>
      <w:r>
        <w:rPr>
          <w:rFonts w:ascii="Open Sans" w:cs="Open Sans" w:eastAsia="Open Sans" w:hAnsi="Open Sans"/>
          <w:b w:val="false"/>
          <w:bCs w:val="false"/>
          <w:i w:val="false"/>
          <w:iCs w:val="false"/>
          <w:color w:val="59595B"/>
          <w:sz w:val="22"/>
          <w:szCs w:val="22"/>
        </w:rPr>
        <w:t xml:space="preserve">The program runs three motions, all account-based and all true to how a contractor actually wins work. Get found and trusted: own the answer-engine and the "single-source, all five trades" story no competitor can claim, across three states. Win the work: project, permit, and bid intelligence that surfaces the right developers, agencies, and utility programs early, plus AI that assembles responsive bids and accelerates estimating. Run leaner and remember: capture twenty-five years of bids and jurisdictional know-how into a searchable memory, and lift the output of every estimator and crew. One boundary holds throughout — on fixed-price, safety-critical work, AI assists, and the licensed estimator or project manager owns the final price and signs.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Rebalance toward the boom: residential is cooling while grid, undergrounding, EV, broadband, and streetlights are surging — and Pacific Utility already self-performs exactly that work. AI helps the firm chase and win more of it.</w:t>
            </w:r>
          </w:p>
          <w:p>
            <w:pPr>
              <w:keepNext/>
              <w:keepLines/>
              <w:spacing w:after="60" w:before="40" w:line="300"/>
            </w:pPr>
            <w:r>
              <w:rPr>
                <w:rFonts w:ascii="Open Sans" w:cs="Open Sans" w:eastAsia="Open Sans" w:hAnsi="Open Sans"/>
                <w:color w:val="59595B"/>
                <w:sz w:val="20"/>
                <w:szCs w:val="20"/>
              </w:rPr>
              <w:t xml:space="preserve">Own a category that is digitally asleep: no underground-utility contractor has claimed the AI-answer position, and none can claim Pacific Utility’s single-source, all-five-trades, tri-state story. First mover earns compounding authority.</w:t>
            </w:r>
          </w:p>
          <w:p>
            <w:pPr>
              <w:keepNext w:val="false"/>
              <w:keepLines/>
              <w:spacing w:after="60" w:before="40" w:line="300"/>
            </w:pPr>
            <w:r>
              <w:rPr>
                <w:rFonts w:ascii="Open Sans" w:cs="Open Sans" w:eastAsia="Open Sans" w:hAnsi="Open Sans"/>
                <w:color w:val="59595B"/>
                <w:sz w:val="20"/>
                <w:szCs w:val="20"/>
              </w:rPr>
              <w:t xml:space="preserve">Make bandwidth the advantage, not the ceiling: in a skilled-labor shortage, estimating capacity is the bottleneck. AI lets the firm bid more and bid sharper without adding estimators it cannot hire — the human still signs the number.</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Pacific Utility’s internal numbers (bid volume, win rate, average job size, estimating capacity) were not part of this draft. Every projection below is labeled illustrative, pricing shows real published rates where they exist and "to be determined in discovery" everywhere else, and the return is shown as the method we will measure — not an invented multiple. The discovery questions in Section 19 replace estimates with real baselines.</w:t>
      </w:r>
    </w:p>
    <w:p>
      <w:pPr>
        <w:pStyle w:val="Heading1"/>
        <w:keepNext/>
        <w:pageBreakBefore/>
        <w:spacing w:after="120" w:before="0" w:line="240"/>
      </w:pPr>
      <w:r>
        <w:rPr>
          <w:rFonts w:ascii="Open Sans" w:cs="Open Sans" w:eastAsia="Open Sans" w:hAnsi="Open Sans"/>
          <w:color w:val="FFFFFF"/>
          <w:sz w:val="2"/>
          <w:szCs w:val="2"/>
        </w:rPr>
        <w:t xml:space="preserve">02  The Strategic Inflection — Two Diverging Engines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02  The Strategic Inflection — Two Diverging Engines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Every growth plan should start with the force that makes it urgent, and for Pacific Utility that force is a split in the market the firm serves. The two demand engines that have run side by side for years are now moving in opposite directions, and the firm is positioned — by trade mix, licenses, and recent hiring — to ride the one that is rising. This is the "why now."</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5"/>
        <w:gridCol w:w="3931"/>
        <w:gridCol w:w="3464"/>
      </w:tblGrid>
      <w:tr>
        <w:trPr>
          <w:cantSplit/>
          <w:tblHeader/>
        </w:trPr>
        <w:tc>
          <w:tcPr>
            <w:tcW w:type="dxa" w:w="196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Engine</w:t>
            </w:r>
          </w:p>
        </w:tc>
        <w:tc>
          <w:tcPr>
            <w:tcW w:type="dxa" w:w="393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What’s Happening (2025–2026)</w:t>
            </w:r>
          </w:p>
        </w:tc>
        <w:tc>
          <w:tcPr>
            <w:tcW w:type="dxa" w:w="346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 for Pacific Utility</w:t>
            </w:r>
          </w:p>
        </w:tc>
      </w:tr>
      <w:tr>
        <w:trPr>
          <w:cantSplit/>
        </w:trPr>
        <w:tc>
          <w:tcPr>
            <w:tcW w:type="dxa" w:w="196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Residential development (cooling)</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Housing starts and deliveries are pulling back across CA, NV, and AZ; SoCal metros saw price softening and Las Vegas builders logged the slowest February sales in a decade</w:t>
            </w:r>
          </w:p>
        </w:tc>
        <w:tc>
          <w:tcPr>
            <w:tcW w:type="dxa" w:w="34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developer/builder channel softens near-term — a reason to diversify the bid mix, not to lean harder on cooling demand</w:t>
            </w:r>
          </w:p>
        </w:tc>
      </w:tr>
      <w:tr>
        <w:trPr>
          <w:cantSplit/>
        </w:trPr>
        <w:tc>
          <w:tcPr>
            <w:tcW w:type="dxa" w:w="196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Grid &amp; public infrastructure (booming)</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~$1.4T U.S. utility capex 2025–2030; the largest transmission build ever; in 2023, utilities spent on the order of $11.8B on underground lines and $7.5B on transformers (the latter up roughly 23% year over year)</w:t>
            </w:r>
          </w:p>
        </w:tc>
        <w:tc>
          <w:tcPr>
            <w:tcW w:type="dxa" w:w="34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Pacific Utility already self-performs high voltage, Rule 20 undergrounding, and streetlights — the exact scopes the boom demands</w:t>
            </w:r>
          </w:p>
        </w:tc>
      </w:tr>
      <w:tr>
        <w:trPr>
          <w:cantSplit/>
        </w:trPr>
        <w:tc>
          <w:tcPr>
            <w:tcW w:type="dxa" w:w="196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Federal &amp; state programs</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IIJA grid modernization (~$73B), DOE grid-hardening and undergrounding, NEVI EV charging ($5B, restored 2025), BEAD broadband ($42B) ramping into 2026, CA SB 1 (~$5B/yr) for streets</w:t>
            </w:r>
          </w:p>
        </w:tc>
        <w:tc>
          <w:tcPr>
            <w:tcW w:type="dxa" w:w="34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fundable channels for dry-utility, high-voltage, EV, broadband, and streetlight scopes — if the firm is found and prepared early</w:t>
            </w:r>
          </w:p>
        </w:tc>
      </w:tr>
      <w:tr>
        <w:trPr>
          <w:cantSplit/>
        </w:trPr>
        <w:tc>
          <w:tcPr>
            <w:tcW w:type="dxa" w:w="196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Wildfire-driven undergrounding</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CPUC Rule 20 is shifting from legacy work-credit projects to utility wildfire-mitigation undergrounding (IOU hardening) — a growing, multi-year channel</w:t>
            </w:r>
          </w:p>
        </w:tc>
        <w:tc>
          <w:tcPr>
            <w:tcW w:type="dxa" w:w="34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direct fit for the firm’s origin business; the contractor that owns the "undergrounding" story is positioned to win it</w:t>
            </w:r>
          </w:p>
        </w:tc>
      </w:tr>
      <w:tr>
        <w:trPr>
          <w:cantSplit/>
        </w:trPr>
        <w:tc>
          <w:tcPr>
            <w:tcW w:type="dxa" w:w="196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skilled-labor shortage</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Construction needs hundreds of thousands of net new workers; electricians retire faster than they are replaced, with the workforce projected to shrink while demand rises</w:t>
            </w:r>
          </w:p>
        </w:tc>
        <w:tc>
          <w:tcPr>
            <w:tcW w:type="dxa" w:w="34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Estimating bandwidth and crew productivity — not demand — become the binding constraint; this is precisely where AI pays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Inflection, Stated Plainly</w:t>
            </w:r>
          </w:p>
          <w:p>
            <w:pPr>
              <w:keepNext/>
              <w:keepLines/>
              <w:spacing w:after="60" w:before="40" w:line="300"/>
            </w:pPr>
            <w:r>
              <w:rPr>
                <w:rFonts w:ascii="Open Sans" w:cs="Open Sans" w:eastAsia="Open Sans" w:hAnsi="Open Sans"/>
                <w:color w:val="59595B"/>
                <w:sz w:val="20"/>
                <w:szCs w:val="20"/>
              </w:rPr>
              <w:t xml:space="preserve">The demand is moving toward exactly what Pacific Utility already does best — underground, high voltage, undergrounding, and streetlights — and away from the residential channel that is cooling.</w:t>
            </w:r>
          </w:p>
          <w:p>
            <w:pPr>
              <w:keepNext/>
              <w:keepLines/>
              <w:spacing w:after="60" w:before="40" w:line="300"/>
            </w:pPr>
            <w:r>
              <w:rPr>
                <w:rFonts w:ascii="Open Sans" w:cs="Open Sans" w:eastAsia="Open Sans" w:hAnsi="Open Sans"/>
                <w:color w:val="59595B"/>
                <w:sz w:val="20"/>
                <w:szCs w:val="20"/>
              </w:rPr>
              <w:t xml:space="preserve">The constraint is no longer finding work; it is having the estimating bandwidth to chase and win more of the right work with a team that cannot be hired up quickly in a labor shortage.</w:t>
            </w:r>
          </w:p>
          <w:p>
            <w:pPr>
              <w:keepNext w:val="false"/>
              <w:keepLines/>
              <w:spacing w:after="60" w:before="40" w:line="300"/>
            </w:pPr>
            <w:r>
              <w:rPr>
                <w:rFonts w:ascii="Open Sans" w:cs="Open Sans" w:eastAsia="Open Sans" w:hAnsi="Open Sans"/>
                <w:color w:val="59595B"/>
                <w:sz w:val="20"/>
                <w:szCs w:val="20"/>
              </w:rPr>
              <w:t xml:space="preserve">That is the whole case for AI here: be found first where the booming work is, bid more of it faster and sharper, and lift the output of the people the firm already has — with the licensed estimator still signing the number.</w:t>
            </w:r>
          </w:p>
        </w:tc>
      </w:tr>
    </w:tbl>
    <w:p>
      <w:pPr>
        <w:pStyle w:val="Heading1"/>
        <w:keepNext/>
        <w:pageBreakBefore/>
        <w:spacing w:after="120" w:before="0" w:line="240"/>
      </w:pPr>
      <w:r>
        <w:rPr>
          <w:rFonts w:ascii="Open Sans" w:cs="Open Sans" w:eastAsia="Open Sans" w:hAnsi="Open Sans"/>
          <w:color w:val="FFFFFF"/>
          <w:sz w:val="2"/>
          <w:szCs w:val="2"/>
        </w:rPr>
        <w:t xml:space="preserve">03  Pacific Utility’s Service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Pacific Utility’s Service Architecture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Pacific Utility is one of the few contractors that can self-perform the entire underground scope of a project. Most rivals pick a lane — dry utility, or wet utility, or electrical. Pacific Utility runs five practice lines under one roof, and that is not just a broader menu; it is the structural reason the firm can offer a developer something its competitors cannot: a single point of accountability for everything below grade, on one schedule. When one contractor owns the trenching, the conduit, the vaults, the high-voltage make-up, and the streetlights, there are fewer seams for conflicts to hide in and fewer handoffs to slow energization. That single-source story is the firm’s sharpest differentiator — and it is almost entirely unmarketed.</w:t>
      </w:r>
    </w:p>
    <w:p>
      <w:pPr>
        <w:spacing w:after="0" w:before="160"/>
      </w:pPr>
      <w:r>
        <w:t xml:space="preserve"/>
      </w:r>
    </w:p>
    <w:p>
      <w:pPr>
        <w:spacing w:after="80" w:before="120"/>
        <w:jc w:val="center"/>
      </w:pPr>
      <w:r>
        <w:drawing>
          <wp:inline distT="0" distB="0" distL="0" distR="0">
            <wp:extent cx="5715000" cy="2800350"/>
            <wp:effectExtent t="0" r="0" b="0" l="0"/>
            <wp:docPr id="1" name="Pacific Utility’s Five Trades" descr="Pacific Utility’s Five Trades" title="Pacific Utility’s Five T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0035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3.0 — Five practice lines under one roof: the single-source underground story no siloed competitor can claim</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Utility Engineering — plan the risk out first</w:t>
      </w:r>
    </w:p>
    <w:p>
      <w:pPr>
        <w:spacing w:after="140" w:before="0" w:line="320"/>
        <w:jc w:val="both"/>
      </w:pPr>
      <w:r>
        <w:rPr>
          <w:rFonts w:ascii="Open Sans" w:cs="Open Sans" w:eastAsia="Open Sans" w:hAnsi="Open Sans"/>
          <w:b w:val="false"/>
          <w:bCs w:val="false"/>
          <w:i w:val="false"/>
          <w:iCs w:val="false"/>
          <w:color w:val="59595B"/>
          <w:sz w:val="22"/>
          <w:szCs w:val="22"/>
        </w:rPr>
        <w:t xml:space="preserve">The firm approaches utility work differently by leading with engineering: site studies and due diligence, project estimations, constructability reviews, conflict-overlay plans that find the clashes before a crew is in the trench, customer-side engineering, guaranteed structure placement, and work-order processing. This is where schedule risk is removed before it becomes a change order — and where AI-assisted estimating and conflict detection have the most leverage.</w:t>
      </w:r>
    </w:p>
    <w:p>
      <w:pPr>
        <w:pStyle w:val="Heading2"/>
        <w:keepNext/>
        <w:keepLines/>
        <w:spacing w:after="120" w:before="280"/>
      </w:pPr>
      <w:r>
        <w:rPr>
          <w:rFonts w:ascii="Open Sans" w:cs="Open Sans" w:eastAsia="Open Sans" w:hAnsi="Open Sans"/>
          <w:b/>
          <w:bCs/>
          <w:color w:val="006DB6"/>
          <w:sz w:val="26"/>
          <w:szCs w:val="26"/>
        </w:rPr>
        <w:t xml:space="preserve">Wet &amp; Dry Utility — the underground backbone</w:t>
      </w:r>
    </w:p>
    <w:p>
      <w:pPr>
        <w:spacing w:after="140" w:before="0" w:line="320"/>
        <w:jc w:val="both"/>
      </w:pPr>
      <w:r>
        <w:rPr>
          <w:rFonts w:ascii="Open Sans" w:cs="Open Sans" w:eastAsia="Open Sans" w:hAnsi="Open Sans"/>
          <w:b w:val="false"/>
          <w:bCs w:val="false"/>
          <w:i w:val="false"/>
          <w:iCs w:val="false"/>
          <w:color w:val="59595B"/>
          <w:sz w:val="22"/>
          <w:szCs w:val="22"/>
        </w:rPr>
        <w:t xml:space="preserve">Wet utility covers sewer mainline, storm drain, water mainline, sewer laterals and water services, and points of connection. Dry utility — the firm’s origin business — covers utility trenching, Rule 20 overhead-to-underground conversions, conduit, vaults and substructures, electrical line extensions, telecom infrastructure, gas, and private communications. Together they are the single-source backbone: the developer who hires Pacific Utility for both is buying one schedule and one accountable partner instead of coordinating two siloed subs across the same trench.</w:t>
      </w:r>
    </w:p>
    <w:p>
      <w:pPr>
        <w:pStyle w:val="Heading2"/>
        <w:keepNext/>
        <w:keepLines/>
        <w:spacing w:after="120" w:before="280"/>
      </w:pPr>
      <w:r>
        <w:rPr>
          <w:rFonts w:ascii="Open Sans" w:cs="Open Sans" w:eastAsia="Open Sans" w:hAnsi="Open Sans"/>
          <w:b/>
          <w:bCs/>
          <w:color w:val="006DB6"/>
          <w:sz w:val="26"/>
          <w:szCs w:val="26"/>
        </w:rPr>
        <w:t xml:space="preserve">High Voltage — the safety-critical specialty</w:t>
      </w:r>
    </w:p>
    <w:p>
      <w:pPr>
        <w:spacing w:after="140" w:before="0" w:line="320"/>
        <w:jc w:val="both"/>
      </w:pPr>
      <w:r>
        <w:rPr>
          <w:rFonts w:ascii="Open Sans" w:cs="Open Sans" w:eastAsia="Open Sans" w:hAnsi="Open Sans"/>
          <w:b w:val="false"/>
          <w:bCs w:val="false"/>
          <w:i w:val="false"/>
          <w:iCs w:val="false"/>
          <w:color w:val="59595B"/>
          <w:sz w:val="22"/>
          <w:szCs w:val="22"/>
        </w:rPr>
        <w:t xml:space="preserve">Pacific Utility installs new residential and commercial power infrastructure: cable, splice, and make-up of primary and secondary services; setting and energizing transformers, switchgear, and secondary structures; and metering. This is life-safety work, and the firm says so plainly — "there is no such thing as discount high voltage." It is also the scope most exposed to the grid-capex boom, and the one where the "AI assists, the licensed professional signs" boundary matters most.</w:t>
      </w:r>
    </w:p>
    <w:p>
      <w:pPr>
        <w:pStyle w:val="Heading2"/>
        <w:keepNext/>
        <w:keepLines/>
        <w:spacing w:after="120" w:before="280"/>
      </w:pPr>
      <w:r>
        <w:rPr>
          <w:rFonts w:ascii="Open Sans" w:cs="Open Sans" w:eastAsia="Open Sans" w:hAnsi="Open Sans"/>
          <w:b/>
          <w:bCs/>
          <w:color w:val="006DB6"/>
          <w:sz w:val="26"/>
          <w:szCs w:val="26"/>
        </w:rPr>
        <w:t xml:space="preserve">Streetlights &amp; Traffic Signals — the public-works funnel</w:t>
      </w:r>
    </w:p>
    <w:p>
      <w:pPr>
        <w:spacing w:after="140" w:before="0" w:line="320"/>
        <w:jc w:val="both"/>
      </w:pPr>
      <w:r>
        <w:rPr>
          <w:rFonts w:ascii="Open Sans" w:cs="Open Sans" w:eastAsia="Open Sans" w:hAnsi="Open Sans"/>
          <w:b w:val="false"/>
          <w:bCs w:val="false"/>
          <w:i w:val="false"/>
          <w:iCs w:val="false"/>
          <w:color w:val="59595B"/>
          <w:sz w:val="22"/>
          <w:szCs w:val="22"/>
        </w:rPr>
        <w:t xml:space="preserve">The firm installs and maintains parking-lot, commercial, residential, and city street lighting; traffic signals; controllers and pedestals; retrofits; and ongoing maintenance and repair. This is the channel fed by SB 1, municipal LED and connected-streetlight conversions, and intelligent-transportation funding — a recurring, agency-driven complement to the project-based development 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6"/>
        <w:gridCol w:w="2387"/>
        <w:gridCol w:w="4777"/>
      </w:tblGrid>
      <w:tr>
        <w:trPr>
          <w:cantSplit/>
          <w:tblHeader/>
        </w:trPr>
        <w:tc>
          <w:tcPr>
            <w:tcW w:type="dxa" w:w="21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Practice Line</w:t>
            </w:r>
          </w:p>
        </w:tc>
        <w:tc>
          <w:tcPr>
            <w:tcW w:type="dxa" w:w="23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Primary Buyer</w:t>
            </w:r>
          </w:p>
        </w:tc>
        <w:tc>
          <w:tcPr>
            <w:tcW w:type="dxa" w:w="477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Where AI Helps</w:t>
            </w:r>
          </w:p>
        </w:tc>
      </w:tr>
      <w:tr>
        <w:trPr>
          <w:cantSplit/>
        </w:trPr>
        <w:tc>
          <w:tcPr>
            <w:tcW w:type="dxa" w:w="21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Utility engineering</w:t>
            </w:r>
          </w:p>
        </w:tc>
        <w:tc>
          <w:tcPr>
            <w:tcW w:type="dxa" w:w="23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Developers &amp; GCs</w:t>
            </w:r>
          </w:p>
        </w:tc>
        <w:tc>
          <w:tcPr>
            <w:tcW w:type="dxa" w:w="477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Estimating and takeoff acceleration, conflict-overlay assistance, constructability first-passes the engineer reviews</w:t>
            </w:r>
          </w:p>
        </w:tc>
      </w:tr>
      <w:tr>
        <w:trPr>
          <w:cantSplit/>
        </w:trPr>
        <w:tc>
          <w:tcPr>
            <w:tcW w:type="dxa" w:w="21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Wet &amp; dry utility</w:t>
            </w:r>
          </w:p>
        </w:tc>
        <w:tc>
          <w:tcPr>
            <w:tcW w:type="dxa" w:w="23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Developers &amp; builders</w:t>
            </w:r>
          </w:p>
        </w:tc>
        <w:tc>
          <w:tcPr>
            <w:tcW w:type="dxa" w:w="477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single-source authority story, project/permit intelligence, and bid assembly across both scopes</w:t>
            </w:r>
          </w:p>
        </w:tc>
      </w:tr>
      <w:tr>
        <w:trPr>
          <w:cantSplit/>
        </w:trPr>
        <w:tc>
          <w:tcPr>
            <w:tcW w:type="dxa" w:w="21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 voltage</w:t>
            </w:r>
          </w:p>
        </w:tc>
        <w:tc>
          <w:tcPr>
            <w:tcW w:type="dxa" w:w="23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Developers, utilities</w:t>
            </w:r>
          </w:p>
        </w:tc>
        <w:tc>
          <w:tcPr>
            <w:tcW w:type="dxa" w:w="477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acceleration and safety/compliance documentation — with the licensed estimator signing the price</w:t>
            </w:r>
          </w:p>
        </w:tc>
      </w:tr>
      <w:tr>
        <w:trPr>
          <w:cantSplit/>
        </w:trPr>
        <w:tc>
          <w:tcPr>
            <w:tcW w:type="dxa" w:w="21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Streetlights &amp; signals</w:t>
            </w:r>
          </w:p>
        </w:tc>
        <w:tc>
          <w:tcPr>
            <w:tcW w:type="dxa" w:w="23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Municipal / public works</w:t>
            </w:r>
          </w:p>
        </w:tc>
        <w:tc>
          <w:tcPr>
            <w:tcW w:type="dxa" w:w="477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Public-works RFP response automation and prevailing-wage / traffic-control document assembly</w:t>
            </w:r>
          </w:p>
        </w:tc>
      </w:tr>
    </w:tbl>
    <w:p>
      <w:pPr>
        <w:pStyle w:val="Heading1"/>
        <w:keepNext/>
        <w:pageBreakBefore/>
        <w:spacing w:after="120" w:before="0" w:line="240"/>
      </w:pPr>
      <w:r>
        <w:rPr>
          <w:rFonts w:ascii="Open Sans" w:cs="Open Sans" w:eastAsia="Open Sans" w:hAnsi="Open Sans"/>
          <w:color w:val="FFFFFF"/>
          <w:sz w:val="2"/>
          <w:szCs w:val="2"/>
        </w:rPr>
        <w:t xml:space="preserve">04  Track Record, Credentials &amp; the ESOP Difference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04  Track Record, Credentials &amp; the ESOP Difference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Pacific Utility’s credibility is real and earned — and almost entirely uncaptured online. More than twenty-five years in business, a tri-state license footprint, membership in the contractor and homebuilder associations that matter, named municipal work, and an employee-ownership culture that retains craftspeople in a labor-short market. The proof exists; it is simply not merchandised where developers, agencies, and the engineers who specify subcontractors can see it. That gap is itself part of the opportunity.</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License &amp; Geography Footprint</w:t>
      </w:r>
    </w:p>
    <w:p>
      <w:pPr>
        <w:spacing w:after="140" w:before="0" w:line="320"/>
        <w:jc w:val="both"/>
      </w:pPr>
      <w:r>
        <w:rPr>
          <w:rFonts w:ascii="Open Sans" w:cs="Open Sans" w:eastAsia="Open Sans" w:hAnsi="Open Sans"/>
          <w:b w:val="false"/>
          <w:bCs w:val="false"/>
          <w:i w:val="false"/>
          <w:iCs w:val="false"/>
          <w:color w:val="59595B"/>
          <w:sz w:val="22"/>
          <w:szCs w:val="22"/>
        </w:rPr>
        <w:t xml:space="preserve">Few specialty contractors carry the firm’s breadth of licensure across three states, which is both an operational asset and a structural search advantage — the firm can credibly own answer-engine visibility in markets where most competitors are single-state.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State</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License(s)</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Footprint</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California</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C-733207 — classifications A, B, C-10</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Headquarters in Corona; the core SoCal market</w:t>
            </w:r>
          </w:p>
        </w:tc>
      </w:tr>
      <w:tr>
        <w:trPr>
          <w:cantSplit/>
        </w:trPr>
        <w:tc>
          <w:tcPr>
            <w:tcW w:type="dxa" w:w="18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Nevada</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0090319 (C-2) and 0085785 (A)</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Las Vegas office (opened 2020) — a booming Southwest market</w:t>
            </w:r>
          </w:p>
        </w:tc>
      </w:tr>
      <w:tr>
        <w:trPr>
          <w:cantSplit/>
        </w:trPr>
        <w:tc>
          <w:tcPr>
            <w:tcW w:type="dxa" w:w="18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Arizona</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ROC 343337 (A) and 343338 (CR-11)</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Scottsdale office (opened 2020) — Phoenix-metro growth corridor</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Leadership &amp; Affiliations</w:t>
      </w:r>
    </w:p>
    <w:p>
      <w:pPr>
        <w:spacing w:after="140" w:before="0" w:line="320"/>
        <w:jc w:val="both"/>
      </w:pPr>
      <w:r>
        <w:rPr>
          <w:rFonts w:ascii="Open Sans" w:cs="Open Sans" w:eastAsia="Open Sans" w:hAnsi="Open Sans"/>
          <w:b w:val="false"/>
          <w:bCs w:val="false"/>
          <w:i w:val="false"/>
          <w:iCs w:val="false"/>
          <w:color w:val="59595B"/>
          <w:sz w:val="22"/>
          <w:szCs w:val="22"/>
        </w:rPr>
        <w:t xml:space="preserve">Pacific Utility was founded in 1997 by Daniel Mole — today Chairman and CEO, and the originator of the "Applicant Installation" model — alongside co-founder Bill Pfeifer. The firm has deliberately built out its public-infrastructure bench, bringing in distribution-services leadership with utility and IOU-design background (ex-SDG&amp;E and a national utility-design platform) to lead the municipal and grid focus. It is a member of the Associated General Contractors (AGC), the Building Industry Association of Southern California (BIASC), and the Southern Nevada Home Builders Association (SNHBA), and it holds itself to formal safety standards. The named municipal work the firm references — high-voltage work for the City of Corona, dry-utility work for Azusa, and streetlights and signals for Moreno Valley — is exactly the kind of public-agency proof that wins the next RFP, and exactly the kind that is currently invisible online.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Employee-Owned Is a Growth Asset, Not Just a Culture Note</w:t>
            </w:r>
          </w:p>
          <w:p>
            <w:pPr>
              <w:keepNext/>
              <w:keepLines/>
              <w:spacing w:after="60" w:before="40" w:line="300"/>
            </w:pPr>
            <w:r>
              <w:rPr>
                <w:rFonts w:ascii="Open Sans" w:cs="Open Sans" w:eastAsia="Open Sans" w:hAnsi="Open Sans"/>
                <w:color w:val="59595B"/>
                <w:sz w:val="20"/>
                <w:szCs w:val="20"/>
              </w:rPr>
              <w:t xml:space="preserve">An ESOP since 2017, Pacific Utility is owned by the craftspeople who do the work — a genuine retention advantage when skilled labor is the industry’s scarcest resource and the deciding constraint on capacity.</w:t>
            </w:r>
          </w:p>
          <w:p>
            <w:pPr>
              <w:keepNext/>
              <w:keepLines/>
              <w:spacing w:after="60" w:before="40" w:line="300"/>
            </w:pPr>
            <w:r>
              <w:rPr>
                <w:rFonts w:ascii="Open Sans" w:cs="Open Sans" w:eastAsia="Open Sans" w:hAnsi="Open Sans"/>
                <w:color w:val="59595B"/>
                <w:sz w:val="20"/>
                <w:szCs w:val="20"/>
              </w:rPr>
              <w:t xml:space="preserve">It is also a trust and brand story buyers respond to: the people on the job have an ownership stake in getting it right. Today that story is barely told online.</w:t>
            </w:r>
          </w:p>
          <w:p>
            <w:pPr>
              <w:keepNext w:val="false"/>
              <w:keepLines/>
              <w:spacing w:after="60" w:before="40" w:line="300"/>
            </w:pPr>
            <w:r>
              <w:rPr>
                <w:rFonts w:ascii="Open Sans" w:cs="Open Sans" w:eastAsia="Open Sans" w:hAnsi="Open Sans"/>
                <w:color w:val="59595B"/>
                <w:sz w:val="20"/>
                <w:szCs w:val="20"/>
              </w:rPr>
              <w:t xml:space="preserve">Merchandising the real proof — the tri-state licenses, the association memberships, the named agency work, the employee-ownership — is among the cheapest, highest-return moves in this plan, because the work is already done; it just needs to be made findable.</w:t>
            </w:r>
          </w:p>
        </w:tc>
      </w:tr>
    </w:tbl>
    <w:p>
      <w:pPr>
        <w:pStyle w:val="Heading1"/>
        <w:keepNext/>
        <w:pageBreakBefore/>
        <w:spacing w:after="120" w:before="0" w:line="240"/>
      </w:pPr>
      <w:r>
        <w:rPr>
          <w:rFonts w:ascii="Open Sans" w:cs="Open Sans" w:eastAsia="Open Sans" w:hAnsi="Open Sans"/>
          <w:color w:val="FFFFFF"/>
          <w:sz w:val="2"/>
          <w:szCs w:val="2"/>
        </w:rPr>
        <w:t xml:space="preserve">05  The Market &amp; How Contractors Win 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The Market &amp; How Contractors Win Work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Pacific Utility’s growth engine is account-based and bid-driven, not a marketing funnel — and any plan that ignores how this work is actually won will aim at the wrong target. Contractors win through competitive bids to general contractors and developers, government public-works RFPs, prequalification and on-call master agreements, and decades-old relationships. The job of AI is to make the firm found and trusted early, surface the right projects sooner, and assemble responsive bids faster — never to "generate leads" in a category that does not buy that way.</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How the Work Is 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Channel</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It Works</w:t>
            </w:r>
          </w:p>
        </w:tc>
        <w:tc>
          <w:tcPr>
            <w:tcW w:type="dxa" w:w="327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Where AI Helps</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Competitive hard bid (private)</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Developers and GCs invite bids on defined scopes; speed and estimate accuracy decide who wins — a large share of winning bids land within days of posting</w:t>
            </w:r>
          </w:p>
        </w:tc>
        <w:tc>
          <w:tcPr>
            <w:tcW w:type="dxa" w:w="32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Project/permit intelligence flags the bid early; AI takeoff and bid assembly let the firm respond faster and sharper</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Public-works RFP (low bid)</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Agencies post solicitations; public projects draw roughly twice the bidders of private work, so responsiveness and compliance matter</w:t>
            </w:r>
          </w:p>
        </w:tc>
        <w:tc>
          <w:tcPr>
            <w:tcW w:type="dxa" w:w="32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response automation assembles compliant, complete bids; prevailing-wage and traffic-control docs auto-drafted</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Prequalification &amp; on-call</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Agencies and utilities prequalify contractors and award on-call/master agreements; being on the list is the precondition to bid</w:t>
            </w:r>
          </w:p>
        </w:tc>
        <w:tc>
          <w:tcPr>
            <w:tcW w:type="dxa" w:w="32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assembles and maintains prequal packages; account intelligence tracks which agencies/utilities to pursue</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Relationships &amp; reputation</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Repeat developers, GCs, and engineers who specify subs; long memories and referrals</w:t>
            </w:r>
          </w:p>
        </w:tc>
        <w:tc>
          <w:tcPr>
            <w:tcW w:type="dxa" w:w="32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merchandised track record and answer-engine authority make the firm the easy, credible specification</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Preconstruction Pain</w:t>
      </w:r>
    </w:p>
    <w:p>
      <w:pPr>
        <w:spacing w:after="140" w:before="0" w:line="320"/>
        <w:jc w:val="both"/>
      </w:pPr>
      <w:r>
        <w:rPr>
          <w:rFonts w:ascii="Open Sans" w:cs="Open Sans" w:eastAsia="Open Sans" w:hAnsi="Open Sans"/>
          <w:b w:val="false"/>
          <w:bCs w:val="false"/>
          <w:i w:val="false"/>
          <w:iCs w:val="false"/>
          <w:color w:val="59595B"/>
          <w:sz w:val="22"/>
          <w:szCs w:val="22"/>
        </w:rPr>
        <w:t xml:space="preserve">Preconstruction is where bids are won or lost and where time leaks. Estimators do manual takeoffs against volatile material prices and lead times, and a single scope gap on a fixed-price bid transfers real risk to the contractor. Industry research puts a striking share of project time lost to searching for data and to rework. In a labor shortage, the estimating function is the bottleneck — every bid an estimator cannot get to is revenue the firm never had the chance to win. This is the single clearest place AI earns its keep for Pacific Utility, and it is why the plan leads there.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AI Adoption Is Already Here — In Estimating First</w:t>
            </w:r>
          </w:p>
          <w:p>
            <w:pPr>
              <w:keepNext/>
              <w:keepLines/>
              <w:spacing w:after="60" w:before="40" w:line="300"/>
            </w:pPr>
            <w:r>
              <w:rPr>
                <w:rFonts w:ascii="Open Sans" w:cs="Open Sans" w:eastAsia="Open Sans" w:hAnsi="Open Sans"/>
                <w:color w:val="59595B"/>
                <w:sz w:val="20"/>
                <w:szCs w:val="20"/>
              </w:rPr>
              <w:t xml:space="preserve">In the latest industry outlook, a majority of construction firms now use AI or plan to increase AI investment, and estimating is among the top applications — this is not speculative for the sector.</w:t>
            </w:r>
          </w:p>
          <w:p>
            <w:pPr>
              <w:keepNext/>
              <w:keepLines/>
              <w:spacing w:after="60" w:before="40" w:line="300"/>
            </w:pPr>
            <w:r>
              <w:rPr>
                <w:rFonts w:ascii="Open Sans" w:cs="Open Sans" w:eastAsia="Open Sans" w:hAnsi="Open Sans"/>
                <w:color w:val="59595B"/>
                <w:sz w:val="20"/>
                <w:szCs w:val="20"/>
              </w:rPr>
              <w:t xml:space="preserve">Automated takeoff can compress preconstruction from dozens of hours to a fraction, with the estimator reviewing and owning the result — directly relieving the bandwidth constraint.</w:t>
            </w:r>
          </w:p>
          <w:p>
            <w:pPr>
              <w:keepNext w:val="false"/>
              <w:keepLines/>
              <w:spacing w:after="60" w:before="40" w:line="300"/>
            </w:pPr>
            <w:r>
              <w:rPr>
                <w:rFonts w:ascii="Open Sans" w:cs="Open Sans" w:eastAsia="Open Sans" w:hAnsi="Open Sans"/>
                <w:color w:val="59595B"/>
                <w:sz w:val="20"/>
                <w:szCs w:val="20"/>
              </w:rPr>
              <w:t xml:space="preserve">The firms adopting this now will out-bid and out-pace those still doing it entirely by hand; the advantage compounds bid over bid.</w:t>
            </w:r>
          </w:p>
        </w:tc>
      </w:tr>
    </w:tbl>
    <w:p>
      <w:pPr>
        <w:pStyle w:val="Heading1"/>
        <w:keepNext/>
        <w:pageBreakBefore/>
        <w:spacing w:after="120" w:before="0" w:line="240"/>
      </w:pPr>
      <w:r>
        <w:rPr>
          <w:rFonts w:ascii="Open Sans" w:cs="Open Sans" w:eastAsia="Open Sans" w:hAnsi="Open Sans"/>
          <w:color w:val="FFFFFF"/>
          <w:sz w:val="2"/>
          <w:szCs w:val="2"/>
        </w:rPr>
        <w:t xml:space="preserve">06  How Buyers Choose — the Bid &amp; Relationship Economy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06  How Buyers Choose — the Bid &amp; Relationship Economy</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is the section that decides whether the growth plan is right or wrong, because Pacific Utility wins work through bids and relationships, not a lead funnel. A developer assembling a project, a GC pricing a job, and a public agency issuing an RFP all decide on the same things: can this contractor do the scope, will it hit the schedule, is the price right, and is it the kind of firm engineers and owners trust to specify. The job of AI is to make Pacific Utility the contractor that is found early, trusted on sight, and able to respond fast — across both the private and public sides.</w:t>
      </w:r>
    </w:p>
    <w:p>
      <w:pPr>
        <w:spacing w:after="0" w:before="160"/>
      </w:pPr>
      <w:r>
        <w:t xml:space="preserve"/>
      </w:r>
    </w:p>
    <w:p>
      <w:pPr>
        <w:spacing w:after="80" w:before="120"/>
        <w:jc w:val="center"/>
      </w:pPr>
      <w:r>
        <w:drawing>
          <wp:inline distT="0" distB="0" distL="0" distR="0">
            <wp:extent cx="5715000" cy="3305175"/>
            <wp:effectExtent t="0" r="0" b="0" l="0"/>
            <wp:docPr id="1" name="How Pacific Utility Wins Work" descr="How Pacific Utility Wins Work" title="How Pacific Utility Win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05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6.0 — A relationship- and bid-driven contractor: private developers and GCs and public agencies and utilities, won account by account</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Buyer’s Decision Path</w:t>
      </w:r>
    </w:p>
    <w:p>
      <w:pPr>
        <w:pStyle w:val="ListParagraph"/>
        <w:numPr>
          <w:ilvl w:val="0"/>
          <w:numId w:val="2"/>
        </w:numPr>
        <w:spacing w:after="80" w:before="40" w:line="300"/>
      </w:pPr>
      <w:r>
        <w:rPr>
          <w:rFonts w:ascii="Open Sans" w:cs="Open Sans" w:eastAsia="Open Sans" w:hAnsi="Open Sans"/>
          <w:color w:val="59595B"/>
          <w:sz w:val="22"/>
          <w:szCs w:val="22"/>
        </w:rPr>
        <w:t xml:space="preserve">Specify or shortlist: the developer, GC, or agency engineer decides which contractors are credible for the scope — visibility, proof, and the single-source story shape who makes the list.</w:t>
      </w:r>
    </w:p>
    <w:p>
      <w:pPr>
        <w:pStyle w:val="ListParagraph"/>
        <w:numPr>
          <w:ilvl w:val="0"/>
          <w:numId w:val="2"/>
        </w:numPr>
        <w:spacing w:after="80" w:before="40" w:line="300"/>
      </w:pPr>
      <w:r>
        <w:rPr>
          <w:rFonts w:ascii="Open Sans" w:cs="Open Sans" w:eastAsia="Open Sans" w:hAnsi="Open Sans"/>
          <w:color w:val="59595B"/>
          <w:sz w:val="22"/>
          <w:szCs w:val="22"/>
        </w:rPr>
        <w:t xml:space="preserve">Solicit the bid: an invitation to bid (private) or a posted RFP (public) goes out; the firms that learn about it early and can respond fast have the edge.</w:t>
      </w:r>
    </w:p>
    <w:p>
      <w:pPr>
        <w:pStyle w:val="ListParagraph"/>
        <w:numPr>
          <w:ilvl w:val="0"/>
          <w:numId w:val="2"/>
        </w:numPr>
        <w:spacing w:after="80" w:before="40" w:line="300"/>
      </w:pPr>
      <w:r>
        <w:rPr>
          <w:rFonts w:ascii="Open Sans" w:cs="Open Sans" w:eastAsia="Open Sans" w:hAnsi="Open Sans"/>
          <w:color w:val="59595B"/>
          <w:sz w:val="22"/>
          <w:szCs w:val="22"/>
        </w:rPr>
        <w:t xml:space="preserve">Price and respond: estimators take off the scope and assemble the bid against schedule and price — the place where bandwidth and accuracy decide the outcome.</w:t>
      </w:r>
    </w:p>
    <w:p>
      <w:pPr>
        <w:pStyle w:val="ListParagraph"/>
        <w:numPr>
          <w:ilvl w:val="0"/>
          <w:numId w:val="2"/>
        </w:numPr>
        <w:spacing w:after="80" w:before="40" w:line="300"/>
      </w:pPr>
      <w:r>
        <w:rPr>
          <w:rFonts w:ascii="Open Sans" w:cs="Open Sans" w:eastAsia="Open Sans" w:hAnsi="Open Sans"/>
          <w:color w:val="59595B"/>
          <w:sz w:val="22"/>
          <w:szCs w:val="22"/>
        </w:rPr>
        <w:t xml:space="preserve">Award and build: the relationship and the delivered result feed the next invitation — reputation compounds, which is why merchandised proof matters.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369"/>
        <w:gridCol w:w="3745"/>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Buyer</w:t>
            </w:r>
          </w:p>
        </w:tc>
        <w:tc>
          <w:tcPr>
            <w:tcW w:type="dxa" w:w="33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They Choose</w:t>
            </w:r>
          </w:p>
        </w:tc>
        <w:tc>
          <w:tcPr>
            <w:tcW w:type="dxa" w:w="37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AI Supports It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Land developers &amp; builders</w:t>
            </w:r>
          </w:p>
        </w:tc>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Schedule certainty and single-source accountability across all underground scopes</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single-source authority story + project/permit intelligence that surfaces their projects early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General contractors</w:t>
            </w:r>
          </w:p>
        </w:tc>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reliable underground sub that prices fast and delivers on schedule</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Faster, sharper bid response so the firm is the easy, dependable sub to call</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Public agencies</w:t>
            </w:r>
          </w:p>
        </w:tc>
        <w:tc>
          <w:tcPr>
            <w:tcW w:type="dxa" w:w="33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Responsive, compliant low bids and prequalified, on-call partners</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response automation, prequal-package assembly, and agency account intelligence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Utilities (grid hardening)</w:t>
            </w:r>
          </w:p>
        </w:tc>
        <w:tc>
          <w:tcPr>
            <w:tcW w:type="dxa" w:w="33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Proven high-voltage and undergrounding capability and program prequalification</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Undergrounding authority content + intelligence on IOU hardening and Rule 20 programs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Found Early, Trusted on Sight, Fast to Respond</w:t>
            </w:r>
          </w:p>
          <w:p>
            <w:pPr>
              <w:keepNext/>
              <w:keepLines/>
              <w:spacing w:after="60" w:before="40" w:line="300"/>
            </w:pPr>
            <w:r>
              <w:rPr>
                <w:rFonts w:ascii="Open Sans" w:cs="Open Sans" w:eastAsia="Open Sans" w:hAnsi="Open Sans"/>
                <w:color w:val="59595B"/>
                <w:sz w:val="20"/>
                <w:szCs w:val="20"/>
              </w:rPr>
              <w:t xml:space="preserve">Never a lead funnel: this is how a bid-and-relationship contractor earns the right to price the work. Authority and proof get the firm onto the shortlist; intelligence gets it to the bid early; AI assembly gets the response out fast.</w:t>
            </w:r>
          </w:p>
          <w:p>
            <w:pPr>
              <w:keepNext/>
              <w:keepLines/>
              <w:spacing w:after="60" w:before="40" w:line="300"/>
            </w:pPr>
            <w:r>
              <w:rPr>
                <w:rFonts w:ascii="Open Sans" w:cs="Open Sans" w:eastAsia="Open Sans" w:hAnsi="Open Sans"/>
                <w:color w:val="59595B"/>
                <w:sz w:val="20"/>
                <w:szCs w:val="20"/>
              </w:rPr>
              <w:t xml:space="preserve">The reinforcing loop is the point: visible authority makes the firm easier to specify and trust, better intelligence surfaces more of the right bids, and faster response wins more of them — each delivered job feeds the next invitation.</w:t>
            </w:r>
          </w:p>
          <w:p>
            <w:pPr>
              <w:keepNext w:val="false"/>
              <w:keepLines/>
              <w:spacing w:after="60" w:before="40" w:line="300"/>
            </w:pPr>
            <w:r>
              <w:rPr>
                <w:rFonts w:ascii="Open Sans" w:cs="Open Sans" w:eastAsia="Open Sans" w:hAnsi="Open Sans"/>
                <w:color w:val="59595B"/>
                <w:sz w:val="20"/>
                <w:szCs w:val="20"/>
              </w:rPr>
              <w:t xml:space="preserve">AI supports the human relationship layer — the estimator’s judgment, the project manager’s reputation, the handshake on the next job — and never replaces it.</w:t>
            </w:r>
          </w:p>
        </w:tc>
      </w:tr>
    </w:tbl>
    <w:p>
      <w:pPr>
        <w:pStyle w:val="Heading1"/>
        <w:keepNext/>
        <w:pageBreakBefore/>
        <w:spacing w:after="120" w:before="0" w:line="240"/>
      </w:pPr>
      <w:r>
        <w:rPr>
          <w:rFonts w:ascii="Open Sans" w:cs="Open Sans" w:eastAsia="Open Sans" w:hAnsi="Open Sans"/>
          <w:color w:val="FFFFFF"/>
          <w:sz w:val="2"/>
          <w:szCs w:val="2"/>
        </w:rPr>
        <w:t xml:space="preserve">07  Where the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Where the Growth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next contract comes from a few clear pools. In a bid-and-relationship market these are won with authority, intelligence, and response speed — not volume — and the program serves all of them, weighted toward the booming grid and public-infrastructure side.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3"/>
        <w:gridCol w:w="3056"/>
        <w:gridCol w:w="3821"/>
      </w:tblGrid>
      <w:tr>
        <w:trPr>
          <w:cantSplit/>
          <w:tblHeader/>
        </w:trPr>
        <w:tc>
          <w:tcPr>
            <w:tcW w:type="dxa" w:w="24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Pool</w:t>
            </w:r>
          </w:p>
        </w:tc>
        <w:tc>
          <w:tcPr>
            <w:tcW w:type="dxa" w:w="305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Who / What</w:t>
            </w:r>
          </w:p>
        </w:tc>
        <w:tc>
          <w:tcPr>
            <w:tcW w:type="dxa" w:w="382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Pacific Utility Captures It</w:t>
            </w:r>
          </w:p>
        </w:tc>
      </w:tr>
      <w:tr>
        <w:trPr>
          <w:cantSplit/>
        </w:trPr>
        <w:tc>
          <w:tcPr>
            <w:tcW w:type="dxa" w:w="24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Grid &amp; utility undergrounding</w:t>
            </w:r>
          </w:p>
        </w:tc>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IOU wildfire-mitigation undergrounding, Rule 20 conversions, high-voltage programs</w:t>
            </w:r>
          </w:p>
        </w:tc>
        <w:tc>
          <w:tcPr>
            <w:tcW w:type="dxa" w:w="382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Undergrounding authority content + intelligence on utility hardening programs and prequalification</w:t>
            </w:r>
          </w:p>
        </w:tc>
      </w:tr>
      <w:tr>
        <w:trPr>
          <w:cantSplit/>
        </w:trPr>
        <w:tc>
          <w:tcPr>
            <w:tcW w:type="dxa" w:w="24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Public-works &amp; streetlights</w:t>
            </w:r>
          </w:p>
        </w:tc>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Municipal RFPs for streets, signals, LED and connected-streetlight conversions (SB 1, ITS)</w:t>
            </w:r>
          </w:p>
        </w:tc>
        <w:tc>
          <w:tcPr>
            <w:tcW w:type="dxa" w:w="382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response automation and agency account intelligence to win more, more responsively</w:t>
            </w:r>
          </w:p>
        </w:tc>
      </w:tr>
      <w:tr>
        <w:trPr>
          <w:cantSplit/>
        </w:trPr>
        <w:tc>
          <w:tcPr>
            <w:tcW w:type="dxa" w:w="24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 broadband &amp; federal-funded</w:t>
            </w:r>
          </w:p>
        </w:tc>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NEVI EV charging, BEAD broadband, IIJA-funded dry-utility and conduit scopes ramping into 2026</w:t>
            </w:r>
          </w:p>
        </w:tc>
        <w:tc>
          <w:tcPr>
            <w:tcW w:type="dxa" w:w="382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Early project/permit intelligence so the firm is bidding before the field is crowded</w:t>
            </w:r>
          </w:p>
        </w:tc>
      </w:tr>
      <w:tr>
        <w:trPr>
          <w:cantSplit/>
        </w:trPr>
        <w:tc>
          <w:tcPr>
            <w:tcW w:type="dxa" w:w="24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Single-source developer work</w:t>
            </w:r>
          </w:p>
        </w:tc>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Developers who would rather hire one accountable underground partner than coordinate siloed subs</w:t>
            </w:r>
          </w:p>
        </w:tc>
        <w:tc>
          <w:tcPr>
            <w:tcW w:type="dxa" w:w="382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"all five trades, one schedule" story — the position only Pacific Utility can credibly own</w:t>
            </w:r>
          </w:p>
        </w:tc>
      </w:tr>
      <w:tr>
        <w:trPr>
          <w:cantSplit/>
        </w:trPr>
        <w:tc>
          <w:tcPr>
            <w:tcW w:type="dxa" w:w="24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Tri-state local search lanes</w:t>
            </w:r>
          </w:p>
        </w:tc>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Buyers searching for underground / dry / high-voltage contractors in CA, NV, and AZ cities</w:t>
            </w:r>
          </w:p>
        </w:tc>
        <w:tc>
          <w:tcPr>
            <w:tcW w:type="dxa" w:w="382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and local SEO across three states — a lane no single-state rival can hold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Reinforcing Loop</w:t>
            </w:r>
          </w:p>
          <w:p>
            <w:pPr>
              <w:keepNext/>
              <w:keepLines/>
              <w:spacing w:after="60" w:before="40" w:line="300"/>
            </w:pPr>
            <w:r>
              <w:rPr>
                <w:rFonts w:ascii="Open Sans" w:cs="Open Sans" w:eastAsia="Open Sans" w:hAnsi="Open Sans"/>
                <w:color w:val="59595B"/>
                <w:sz w:val="20"/>
                <w:szCs w:val="20"/>
              </w:rPr>
              <w:t xml:space="preserve">The grid, public-works, and federally-funded pools are demand that is surging right now — the job is to be found, prequalified, and bidding early, before the field fills in.</w:t>
            </w:r>
          </w:p>
          <w:p>
            <w:pPr>
              <w:keepNext/>
              <w:keepLines/>
              <w:spacing w:after="60" w:before="40" w:line="300"/>
            </w:pPr>
            <w:r>
              <w:rPr>
                <w:rFonts w:ascii="Open Sans" w:cs="Open Sans" w:eastAsia="Open Sans" w:hAnsi="Open Sans"/>
                <w:color w:val="59595B"/>
                <w:sz w:val="20"/>
                <w:szCs w:val="20"/>
              </w:rPr>
              <w:t xml:space="preserve">The single-source and relationship pools are won by reputation and response — AI surfaces the right projects and assembles the bid, while the estimator and PM close them.</w:t>
            </w:r>
          </w:p>
          <w:p>
            <w:pPr>
              <w:keepNext w:val="false"/>
              <w:keepLines/>
              <w:spacing w:after="60" w:before="40" w:line="300"/>
            </w:pPr>
            <w:r>
              <w:rPr>
                <w:rFonts w:ascii="Open Sans" w:cs="Open Sans" w:eastAsia="Open Sans" w:hAnsi="Open Sans"/>
                <w:color w:val="59595B"/>
                <w:sz w:val="20"/>
                <w:szCs w:val="20"/>
              </w:rPr>
              <w:t xml:space="preserve">Each pool strengthens the others: visible authority makes the firm easier to specify, better intelligence surfaces more of the right work, and a merchandised track record makes every bid more credible.</w:t>
            </w:r>
          </w:p>
        </w:tc>
      </w:tr>
    </w:tbl>
    <w:p>
      <w:pPr>
        <w:pStyle w:val="Heading1"/>
        <w:keepNext/>
        <w:pageBreakBefore/>
        <w:spacing w:after="120" w:before="0" w:line="240"/>
      </w:pPr>
      <w:r>
        <w:rPr>
          <w:rFonts w:ascii="Open Sans" w:cs="Open Sans" w:eastAsia="Open Sans" w:hAnsi="Open Sans"/>
          <w:color w:val="FFFFFF"/>
          <w:sz w:val="2"/>
          <w:szCs w:val="2"/>
        </w:rPr>
        <w:t xml:space="preserve">08  The Five Pacific Utility Buyers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08  The Five Pacific Utility Buyers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Pacific Utility sells to a finite, named set of buyers — not a broad consumer market. The five profiles below are derived from the firm’s actual work across private development and public infrastructure; they are not a borrowed template. The matrix that follows places each by project value and how strategic and recurring the relationship is — which is where account-based effort should concentrate, and it points toward the booming grid and public side.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7B2D8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Utility / Grid-Hardening Buyer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An investor-owned or public utility running wildfire-mitigation undergrounding, Rule 20 conversions, and high-voltage hardening — the booming channel.</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Massive multi-year programs, a shortage of qualified high-voltage and undergrounding contractors, and prequalification gates.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Proven high-voltage and undergrounding capability, safety record, and program prequalification.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Undergrounding authority content earns visibility; intelligence on hardening programs and prequal status arms the pursuit.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undergrounding authority. My AI Lead Gen — utility-program intelligence.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Land Developer (Master-Planned)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horizontal/master-planned-community developer who needs all the underground done on schedule across multiple phases — the "Applicant Installation" buyer.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Schedule slips when siloed subs clash in the same trench; energization delays hold up the whole project.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Single-source accountability and schedule certainty across every underground scope.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The single-source story plus project/permit intelligence that surfaces their entitlements and permits early.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the single-source authority. My AI Lead Gen — project &amp; entitlement intelligence.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Production Home Builder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production builder putting up homes lot after lot who needs underground and power delivered reliably across many parcels.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Repeatable scopes where any delay multiplies across lots; needs a dependable sub that prices fast.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Reliability, repeatable pricing, and a sub that keeps the schedule across a long pipeline.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Faster bid turnaround and account intelligence to stay ahead of the builder’s next phases.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My AI — bid acceleration. My AI Lead Gen — builder-pipeline intelligence.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General Contractor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GC on commercial, mixed-use, or public projects who hires Pacific Utility as the underground subcontractor.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Needs an underground sub that prices quickly and accurately and never becomes the schedule’s weak link.</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Speed and accuracy of bid response, and dependable delivery on schedule.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 takeoff and bid assembly make Pacific Utility the fast, sharp, easy sub to call back.</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My AI — estimating &amp; bid assembly.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C0000"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Municipal / Public-Works Agency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Who</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city or public-works agency issuing RFPs for streetlights, traffic signals, dry utility, and high-voltage work — the named Corona / Azusa / Moreno Valley pattern.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Needs responsive, compliant low bids from prequalified, on-call partners; values a clean safety and delivery record.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Responsiveness, prevailing-wage and compliance discipline, prequalification, and proven agency work.</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RFP response automation and prequal-package assembly, plus agency account intelligence on upcoming solicitations.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My AI — RFP &amp; prequal automation. My AI Lead Gen — agency intelligence.</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8.0 places each by project value and strategic, recurring value — the utility/grid and land-developer accounts carry the most strategic weight, which is where account-based effort should concentrate.</w:t>
      </w:r>
    </w:p>
    <w:p>
      <w:pPr>
        <w:spacing w:after="0" w:before="60"/>
      </w:pPr>
      <w:r>
        <w:t xml:space="preserve"/>
      </w:r>
    </w:p>
    <w:p>
      <w:pPr>
        <w:spacing w:after="80" w:before="120"/>
        <w:jc w:val="center"/>
      </w:pPr>
      <w:r>
        <w:drawing>
          <wp:inline distT="0" distB="0" distL="0" distR="0">
            <wp:extent cx="5524500" cy="3686175"/>
            <wp:effectExtent t="0" r="0" b="0" l="0"/>
            <wp:docPr id="1" name="Pacific Utility Customer Matrix" descr="Pacific Utility Customer Matrix" title="Pacific Utility Custom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8.0 — Customer Matrix: Project / Account Value vs. Strategic &amp; Recurring Value</w:t>
      </w:r>
    </w:p>
    <w:p>
      <w:pPr>
        <w:pStyle w:val="Heading1"/>
        <w:keepNext/>
        <w:pageBreakBefore/>
        <w:spacing w:after="120" w:before="0" w:line="240"/>
      </w:pPr>
      <w:r>
        <w:rPr>
          <w:rFonts w:ascii="Open Sans" w:cs="Open Sans" w:eastAsia="Open Sans" w:hAnsi="Open Sans"/>
          <w:color w:val="FFFFFF"/>
          <w:sz w:val="2"/>
          <w:szCs w:val="2"/>
        </w:rPr>
        <w:t xml:space="preserve">09  Competitive Landscape &amp; the White Space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Competitive Landscape &amp; the White Space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Pacific Utility competes in a category that is, almost uniformly, content-shy and answer-engine-blind. The big underground rivals win on scale and earned media; the dry-utility and wet-utility peers run brochure sites with little or no thought-leadership. Only one competitor does steady project-PR, and through earned media rather than owned, indexable content. No one has claimed the AI-answer position, the single-source story, or the tri-state search lane — and Pacific Utility, self-performing all five trades across three states, is positioned to take all three.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6"/>
        <w:gridCol w:w="3052"/>
        <w:gridCol w:w="4172"/>
      </w:tblGrid>
      <w:tr>
        <w:trPr>
          <w:cantSplit/>
          <w:tblHeader/>
        </w:trPr>
        <w:tc>
          <w:tcPr>
            <w:tcW w:type="dxa" w:w="213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30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Lane / Reach</w:t>
            </w:r>
          </w:p>
        </w:tc>
        <w:tc>
          <w:tcPr>
            <w:tcW w:type="dxa" w:w="41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Posture vs. Pacific Utility</w:t>
            </w:r>
          </w:p>
        </w:tc>
      </w:tr>
      <w:tr>
        <w:trPr>
          <w:cantSplit/>
        </w:trPr>
        <w:tc>
          <w:tcPr>
            <w:tcW w:type="dxa" w:w="21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 Rasic Construction</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Heavy-civil underground; Long Beach</w:t>
            </w:r>
          </w:p>
        </w:tc>
        <w:tc>
          <w:tcPr>
            <w:tcW w:type="dxa" w:w="41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content leader — steady project-PR syndicated through industry press, but earned media, not owned, indexable authority</w:t>
            </w:r>
          </w:p>
        </w:tc>
      </w:tr>
      <w:tr>
        <w:trPr>
          <w:cantSplit/>
        </w:trPr>
        <w:tc>
          <w:tcPr>
            <w:tcW w:type="dxa" w:w="21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Doty Bros. Construction</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Dry utility; Anaheim; decades-old, MBE</w:t>
            </w:r>
          </w:p>
        </w:tc>
        <w:tc>
          <w:tcPr>
            <w:tcW w:type="dxa" w:w="41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closest dry-utility analog — functional site, no blog or thought-leadership, no AI signal</w:t>
            </w:r>
          </w:p>
        </w:tc>
      </w:tr>
      <w:tr>
        <w:trPr>
          <w:cantSplit/>
        </w:trPr>
        <w:tc>
          <w:tcPr>
            <w:tcW w:type="dxa" w:w="21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Sukut Construction</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Mass-grading + underground; Santa Ana</w:t>
            </w:r>
          </w:p>
        </w:tc>
        <w:tc>
          <w:tcPr>
            <w:tcW w:type="dxa" w:w="41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grading incumbent on big land jobs — polished site and real field tech, but not a buyer-facing content or AI story</w:t>
            </w:r>
          </w:p>
        </w:tc>
      </w:tr>
      <w:tr>
        <w:trPr>
          <w:cantSplit/>
        </w:trPr>
        <w:tc>
          <w:tcPr>
            <w:tcW w:type="dxa" w:w="21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Helix Electric</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Electrical; San Diego + Las Vegas</w:t>
            </w:r>
          </w:p>
        </w:tc>
        <w:tc>
          <w:tcPr>
            <w:tcW w:type="dxa" w:w="41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electrical scale player in SD/LV — large site and regional PR, scale-driven, not owned search</w:t>
            </w:r>
          </w:p>
        </w:tc>
      </w:tr>
      <w:tr>
        <w:trPr>
          <w:cantSplit/>
        </w:trPr>
        <w:tc>
          <w:tcPr>
            <w:tcW w:type="dxa" w:w="21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Sturgeon Electric (MYR)</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High-voltage transmission/substation; AZ + NV</w:t>
            </w:r>
          </w:p>
        </w:tc>
        <w:tc>
          <w:tcPr>
            <w:tcW w:type="dxa" w:w="41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HV benchmark in the firm’s Southwest geography — utility-focused, not developer-facing</w:t>
            </w:r>
          </w:p>
        </w:tc>
      </w:tr>
      <w:tr>
        <w:trPr>
          <w:cantSplit/>
        </w:trPr>
        <w:tc>
          <w:tcPr>
            <w:tcW w:type="dxa" w:w="21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 Roberts</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Wet + dry pipeline; Orange</w:t>
            </w:r>
          </w:p>
        </w:tc>
        <w:tc>
          <w:tcPr>
            <w:tcW w:type="dxa" w:w="41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mid-sized wet/dry peer — clean site, no case-study or content engine</w:t>
            </w:r>
          </w:p>
        </w:tc>
      </w:tr>
      <w:tr>
        <w:trPr>
          <w:cantSplit/>
        </w:trPr>
        <w:tc>
          <w:tcPr>
            <w:tcW w:type="dxa" w:w="21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Turf Construction</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Wet + dry for subdivisions; SoCal</w:t>
            </w:r>
          </w:p>
        </w:tc>
        <w:tc>
          <w:tcPr>
            <w:tcW w:type="dxa" w:w="41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closest developer-facing profile — minimal portfolio, no news or tech, representative of the category’s thinness</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Content &amp; Answer-Engine Scorecard</w:t>
      </w:r>
    </w:p>
    <w:p>
      <w:pPr>
        <w:spacing w:after="140" w:before="0" w:line="320"/>
        <w:jc w:val="both"/>
      </w:pPr>
      <w:r>
        <w:rPr>
          <w:rFonts w:ascii="Open Sans" w:cs="Open Sans" w:eastAsia="Open Sans" w:hAnsi="Open Sans"/>
          <w:b w:val="false"/>
          <w:bCs w:val="false"/>
          <w:i w:val="false"/>
          <w:iCs w:val="false"/>
          <w:color w:val="59595B"/>
          <w:sz w:val="22"/>
          <w:szCs w:val="22"/>
        </w:rPr>
        <w:t xml:space="preserve">Reduced to what now decides who gets specified and found — owned authority content, answer-engine visibility, and merchandised project proof — the picture is clear, and it shows the move available to a single-source, tri-state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7"/>
        <w:gridCol w:w="1693"/>
        <w:gridCol w:w="1693"/>
        <w:gridCol w:w="1515"/>
        <w:gridCol w:w="2142"/>
      </w:tblGrid>
      <w:tr>
        <w:trPr>
          <w:cantSplit/>
          <w:tblHeader/>
        </w:trPr>
        <w:tc>
          <w:tcPr>
            <w:tcW w:type="dxa" w:w="231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Player</w:t>
            </w:r>
          </w:p>
        </w:tc>
        <w:tc>
          <w:tcPr>
            <w:tcW w:type="dxa" w:w="169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Owned Content</w:t>
            </w:r>
          </w:p>
        </w:tc>
        <w:tc>
          <w:tcPr>
            <w:tcW w:type="dxa" w:w="169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AEO / AI Answers</w:t>
            </w:r>
          </w:p>
        </w:tc>
        <w:tc>
          <w:tcPr>
            <w:tcW w:type="dxa" w:w="151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Project Proof</w:t>
            </w:r>
          </w:p>
        </w:tc>
        <w:tc>
          <w:tcPr>
            <w:tcW w:type="dxa" w:w="214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Verdict</w:t>
            </w:r>
          </w:p>
        </w:tc>
      </w:tr>
      <w:tr>
        <w:trPr>
          <w:cantSplit/>
        </w:trPr>
        <w:tc>
          <w:tcPr>
            <w:tcW w:type="dxa" w:w="231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 Rasic</w:t>
            </w:r>
          </w:p>
        </w:tc>
        <w:tc>
          <w:tcPr>
            <w:tcW w:type="dxa" w:w="16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Earned PR</w:t>
            </w:r>
          </w:p>
        </w:tc>
        <w:tc>
          <w:tcPr>
            <w:tcW w:type="dxa" w:w="16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None</w:t>
            </w:r>
          </w:p>
        </w:tc>
        <w:tc>
          <w:tcPr>
            <w:tcW w:type="dxa" w:w="15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Press</w:t>
            </w:r>
          </w:p>
        </w:tc>
        <w:tc>
          <w:tcPr>
            <w:tcW w:type="dxa" w:w="21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leader, via earned media</w:t>
            </w:r>
          </w:p>
        </w:tc>
      </w:tr>
      <w:tr>
        <w:trPr>
          <w:cantSplit/>
        </w:trPr>
        <w:tc>
          <w:tcPr>
            <w:tcW w:type="dxa" w:w="231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Helix / Sturgeon</w:t>
            </w:r>
          </w:p>
        </w:tc>
        <w:tc>
          <w:tcPr>
            <w:tcW w:type="dxa" w:w="169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Scale PR</w:t>
            </w:r>
          </w:p>
        </w:tc>
        <w:tc>
          <w:tcPr>
            <w:tcW w:type="dxa" w:w="169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None</w:t>
            </w:r>
          </w:p>
        </w:tc>
        <w:tc>
          <w:tcPr>
            <w:tcW w:type="dxa" w:w="15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Some</w:t>
            </w:r>
          </w:p>
        </w:tc>
        <w:tc>
          <w:tcPr>
            <w:tcW w:type="dxa" w:w="214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Scale, low owned content</w:t>
            </w:r>
          </w:p>
        </w:tc>
      </w:tr>
      <w:tr>
        <w:trPr>
          <w:cantSplit/>
        </w:trPr>
        <w:tc>
          <w:tcPr>
            <w:tcW w:type="dxa" w:w="231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Doty / T.E. Roberts / Turf</w:t>
            </w:r>
          </w:p>
        </w:tc>
        <w:tc>
          <w:tcPr>
            <w:tcW w:type="dxa" w:w="16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Minimal</w:t>
            </w:r>
          </w:p>
        </w:tc>
        <w:tc>
          <w:tcPr>
            <w:tcW w:type="dxa" w:w="169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None</w:t>
            </w:r>
          </w:p>
        </w:tc>
        <w:tc>
          <w:tcPr>
            <w:tcW w:type="dxa" w:w="15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Little</w:t>
            </w:r>
          </w:p>
        </w:tc>
        <w:tc>
          <w:tcPr>
            <w:tcW w:type="dxa" w:w="21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Brochure sites</w:t>
            </w:r>
          </w:p>
        </w:tc>
      </w:tr>
      <w:tr>
        <w:trPr>
          <w:cantSplit/>
        </w:trPr>
        <w:tc>
          <w:tcPr>
            <w:tcW w:type="dxa" w:w="231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Pacific Utility (today)</w:t>
            </w:r>
          </w:p>
        </w:tc>
        <w:tc>
          <w:tcPr>
            <w:tcW w:type="dxa" w:w="169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Thin</w:t>
            </w:r>
          </w:p>
        </w:tc>
        <w:tc>
          <w:tcPr>
            <w:tcW w:type="dxa" w:w="169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None</w:t>
            </w:r>
          </w:p>
        </w:tc>
        <w:tc>
          <w:tcPr>
            <w:tcW w:type="dxa" w:w="15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Un-scored</w:t>
            </w:r>
          </w:p>
        </w:tc>
        <w:tc>
          <w:tcPr>
            <w:tcW w:type="dxa" w:w="214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Real capability, uncaptured</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9.0 plots the field. The whole category sits low on answer-engine maturity — the only real content comes from one rival’s earned press. The realistic move for Pacific Utility is straight up-and-right: own the AI-answer position and the single-source story no competitor has claimed.</w:t>
      </w:r>
    </w:p>
    <w:p>
      <w:pPr>
        <w:spacing w:after="0" w:before="60"/>
      </w:pPr>
      <w:r>
        <w:t xml:space="preserve"/>
      </w:r>
    </w:p>
    <w:p>
      <w:pPr>
        <w:spacing w:after="80" w:before="120"/>
        <w:jc w:val="center"/>
      </w:pPr>
      <w:r>
        <w:drawing>
          <wp:inline distT="0" distB="0" distL="0" distR="0">
            <wp:extent cx="5524500" cy="3686175"/>
            <wp:effectExtent t="0" r="0" b="0" l="0"/>
            <wp:docPr id="1" name="Competitive Positioning — Scale vs. Content &amp; Answer-Engine Maturity" descr="Competitive Positioning — Scale vs. Content &amp; Answer-Engine Maturity" title="Competitive Positioning — Scale vs. Content &amp; Answer-Engine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9.0 — Competitive Positioning: Scale / Reach vs. Content &amp; Answer-Engine Maturity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Pacific Utility Wins</w:t>
            </w:r>
          </w:p>
          <w:p>
            <w:pPr>
              <w:keepNext/>
              <w:keepLines/>
              <w:spacing w:after="60" w:before="40" w:line="300"/>
            </w:pPr>
            <w:r>
              <w:rPr>
                <w:rFonts w:ascii="Open Sans" w:cs="Open Sans" w:eastAsia="Open Sans" w:hAnsi="Open Sans"/>
                <w:color w:val="59595B"/>
                <w:sz w:val="20"/>
                <w:szCs w:val="20"/>
              </w:rPr>
              <w:t xml:space="preserve">The AI-answer corner is empty — not one underground-utility contractor is optimized for the answers buyers and engineers now get from AI and search. First mover earns compounding, credible authority.</w:t>
            </w:r>
          </w:p>
          <w:p>
            <w:pPr>
              <w:keepNext/>
              <w:keepLines/>
              <w:spacing w:after="60" w:before="40" w:line="300"/>
            </w:pPr>
            <w:r>
              <w:rPr>
                <w:rFonts w:ascii="Open Sans" w:cs="Open Sans" w:eastAsia="Open Sans" w:hAnsi="Open Sans"/>
                <w:color w:val="59595B"/>
                <w:sz w:val="20"/>
                <w:szCs w:val="20"/>
              </w:rPr>
              <w:t xml:space="preserve">Pacific Utility alone can own the single-source, all-five-trades story — no siloed competitor can claim it, and it is exactly what a schedule-anxious developer wants to hear.</w:t>
            </w:r>
          </w:p>
          <w:p>
            <w:pPr>
              <w:keepNext w:val="false"/>
              <w:keepLines/>
              <w:spacing w:after="60" w:before="40" w:line="300"/>
            </w:pPr>
            <w:r>
              <w:rPr>
                <w:rFonts w:ascii="Open Sans" w:cs="Open Sans" w:eastAsia="Open Sans" w:hAnsi="Open Sans"/>
                <w:color w:val="59595B"/>
                <w:sz w:val="20"/>
                <w:szCs w:val="20"/>
              </w:rPr>
              <w:t xml:space="preserve">And the tri-state lane is open ground: most rivals are single-state, so owning the underground-contractor answer in CA, NV, and AZ cities is a position no one else can hold.</w:t>
            </w:r>
          </w:p>
        </w:tc>
      </w:tr>
    </w:tbl>
    <w:p>
      <w:pPr>
        <w:pStyle w:val="Heading1"/>
        <w:keepNext/>
        <w:pageBreakBefore/>
        <w:spacing w:after="120" w:before="0" w:line="240"/>
      </w:pPr>
      <w:r>
        <w:rPr>
          <w:rFonts w:ascii="Open Sans" w:cs="Open Sans" w:eastAsia="Open Sans" w:hAnsi="Open Sans"/>
          <w:color w:val="FFFFFF"/>
          <w:sz w:val="2"/>
          <w:szCs w:val="2"/>
        </w:rPr>
        <w:t xml:space="preserve">10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10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twenty-five-year, tri-state, single-source contractor, the digital presence dramatically under-represents the firm — and the gaps are precise and fixable. The point is not that Pacific Utility needs to become a media company. It is that real capability and real proof are not structured for the way developers, agencies, and the engineers who specify subs now find and vet a contractor.</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995"/>
        <w:gridCol w:w="3932"/>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299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9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visibility</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structured content for the questions buyers ask AI and search about underground/dry/HV contractors</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single biggest fixable gap — become the cited answer across three states, a lane no rival holds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single-source story</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all-five-trades differentiator is barely stated on the site</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one position only Pacific Utility can own — make it the headline, schema-marked and searchable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Project-proof scoreboard</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structured, searchable case studies; named municipal work is invisible</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Twenty-five years and named agency work, un-merchandised — a credibility asset left on the table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Undergrounding / grid authority</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content claiming Rule 20, undergrounding, or high-voltage expertise</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 the grid-hardening search lane exactly as that channel booms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Recency &amp; social presence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Last visible news/LinkedIn activity is years old; modest following</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fast credibility and recency signal — buyers read an outdated presence as an outdated firm</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 &amp; permit intelligence</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system to surface entitlements, permits, or bids early</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clearest "AI as business development" play — know about the right projects before the field crowds in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changing the firm — only making real, existing capability visible the way buyers and AI engines now find it.</w:t>
            </w:r>
          </w:p>
          <w:p>
            <w:pPr>
              <w:keepNext/>
              <w:keepLines/>
              <w:spacing w:after="60" w:before="40" w:line="300"/>
            </w:pPr>
            <w:r>
              <w:rPr>
                <w:rFonts w:ascii="Open Sans" w:cs="Open Sans" w:eastAsia="Open Sans" w:hAnsi="Open Sans"/>
                <w:color w:val="59595B"/>
                <w:sz w:val="20"/>
                <w:szCs w:val="20"/>
              </w:rPr>
              <w:t xml:space="preserve">The answer-engine fix, the single-source story, and the proof scoreboard are low-cost, compounding moves in a category no competitor has claimed.</w:t>
            </w:r>
          </w:p>
          <w:p>
            <w:pPr>
              <w:keepNext w:val="false"/>
              <w:keepLines/>
              <w:spacing w:after="60" w:before="40" w:line="300"/>
            </w:pPr>
            <w:r>
              <w:rPr>
                <w:rFonts w:ascii="Open Sans" w:cs="Open Sans" w:eastAsia="Open Sans" w:hAnsi="Open Sans"/>
                <w:color w:val="59595B"/>
                <w:sz w:val="20"/>
                <w:szCs w:val="20"/>
              </w:rPr>
              <w:t xml:space="preserve">They are also the natural first ninety days: make the capability visible and structured, then layer on project intelligence and the secure AI tooling.</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AI Search Reality Check</w:t>
      </w:r>
    </w:p>
    <w:p>
      <w:pPr>
        <w:spacing w:after="140" w:before="0" w:line="320"/>
        <w:jc w:val="both"/>
      </w:pPr>
      <w:r>
        <w:rPr>
          <w:rFonts w:ascii="Open Sans" w:cs="Open Sans" w:eastAsia="Open Sans" w:hAnsi="Open Sans"/>
          <w:b w:val="false"/>
          <w:bCs w:val="false"/>
          <w:i w:val="false"/>
          <w:iCs w:val="false"/>
          <w:color w:val="59595B"/>
          <w:sz w:val="22"/>
          <w:szCs w:val="22"/>
        </w:rPr>
        <w:t xml:space="preserve">Here is the gap made concrete. When a developer’s engineer or an agency buyer asks an AI assistant the question below today, this is the shape of the answer they get — illustrative of how AI search resolves this query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Prompt: "Who installs dry utility and high-voltage for a master-planned community in the Inland Empire / Las Vegas / Phoenix?"</w:t>
            </w:r>
          </w:p>
          <w:p>
            <w:pPr>
              <w:keepNext/>
              <w:keepLines/>
              <w:spacing w:after="60" w:before="40" w:line="300"/>
            </w:pPr>
            <w:r>
              <w:rPr>
                <w:rFonts w:ascii="Open Sans" w:cs="Open Sans" w:eastAsia="Open Sans" w:hAnsi="Open Sans"/>
                <w:color w:val="59595B"/>
                <w:sz w:val="20"/>
                <w:szCs w:val="20"/>
              </w:rPr>
              <w:t xml:space="preserve">TODAY — the AI assistant answers with whichever contractors have the strongest indexable content and third-party signals it can read: it names a couple of larger or better-publicized firms, and does NOT mention Pacific Utility — even though Pacific Utility self-performs all five underground trades on one schedule across exactly those three states. The firm is invisible at the moment the buyer is forming a shortlist.</w:t>
            </w:r>
          </w:p>
          <w:p>
            <w:pPr>
              <w:keepNext w:val="false"/>
              <w:keepLines/>
              <w:spacing w:after="60" w:before="40" w:line="300"/>
            </w:pPr>
            <w:r>
              <w:rPr>
                <w:rFonts w:ascii="Open Sans" w:cs="Open Sans" w:eastAsia="Open Sans" w:hAnsi="Open Sans"/>
                <w:color w:val="59595B"/>
                <w:sz w:val="20"/>
                <w:szCs w:val="20"/>
              </w:rPr>
              <w:t xml:space="preserve">AFTER ANSWER-ENGINE OPTIMIZATION — the same query returns Pacific Utility as a cited option ("Pacific Utility Installation self-performs wet, dry, high-voltage, streetlights, and utility engineering across CA, NV, and AZ — a single-source underground partner…"), with the single-source page and the project-proof scoreboard as the supporting evidence the assistant points to.</w:t>
            </w:r>
          </w:p>
        </w:tc>
      </w:tr>
    </w:tbl>
    <w:p>
      <w:pPr>
        <w:spacing w:after="140" w:before="0" w:line="320"/>
        <w:jc w:val="both"/>
      </w:pPr>
      <w:r>
        <w:rPr>
          <w:rFonts w:ascii="Open Sans" w:cs="Open Sans" w:eastAsia="Open Sans" w:hAnsi="Open Sans"/>
          <w:b w:val="false"/>
          <w:bCs w:val="false"/>
          <w:i/>
          <w:iCs/>
          <w:color w:val="59595B"/>
          <w:sz w:val="18"/>
          <w:szCs w:val="18"/>
        </w:rPr>
        <w:t xml:space="preserve">(Illustrative of current AI-search behavior for this query class; the live result for the firm’s actual target queries would be captured as the answer-engine baseline at kickoff.)</w:t>
      </w:r>
    </w:p>
    <w:p>
      <w:pPr>
        <w:spacing w:after="0" w:before="160"/>
      </w:pPr>
      <w:r>
        <w:t xml:space="preserve"/>
      </w:r>
    </w:p>
    <w:p>
      <w:pPr>
        <w:pStyle w:val="Heading2"/>
        <w:keepNext/>
        <w:keepLines/>
        <w:spacing w:after="120" w:before="280"/>
      </w:pPr>
      <w:r>
        <w:rPr>
          <w:rFonts w:ascii="Open Sans" w:cs="Open Sans" w:eastAsia="Open Sans" w:hAnsi="Open Sans"/>
          <w:b/>
          <w:bCs/>
          <w:color w:val="CC0000"/>
          <w:sz w:val="26"/>
          <w:szCs w:val="26"/>
        </w:rPr>
        <w:t xml:space="preserve">The Cost of Waiting</w:t>
      </w:r>
    </w:p>
    <w:p>
      <w:pPr>
        <w:spacing w:after="140" w:before="0" w:line="320"/>
        <w:jc w:val="both"/>
      </w:pPr>
      <w:r>
        <w:rPr>
          <w:rFonts w:ascii="Open Sans" w:cs="Open Sans" w:eastAsia="Open Sans" w:hAnsi="Open Sans"/>
          <w:b w:val="false"/>
          <w:bCs w:val="false"/>
          <w:i w:val="false"/>
          <w:iCs w:val="false"/>
          <w:color w:val="59595B"/>
          <w:sz w:val="22"/>
          <w:szCs w:val="22"/>
        </w:rPr>
        <w:t xml:space="preserve">Answer-engine visibility compounds, and it rewards whoever optimizes first. Every quarter Pacific Utility is not cited, the assistants learn to answer "underground / undergrounding / high-voltage contractor in [city]" with someone else — and that default, once set in the retrieval data the engines lean on, is harder and more expensive to dislodge than to claim now. The category is wide open: no underground-utility contractor in the set has claimed the AI-answer position, the single-source story, or the tri-state lane. That window is widest right now, before a rival builds its own answer-engine presence — and it lines up with the grid and public-infrastructure boom the firm is built to win. The cost of waiting is not zero; it is a competitor becoming the default answer in the exact lane Pacific Utility should own.</w:t>
      </w:r>
    </w:p>
    <w:p>
      <w:pPr>
        <w:pStyle w:val="Heading1"/>
        <w:keepNext/>
        <w:pageBreakBefore/>
        <w:spacing w:after="120" w:before="0" w:line="240"/>
      </w:pPr>
      <w:r>
        <w:rPr>
          <w:rFonts w:ascii="Open Sans" w:cs="Open Sans" w:eastAsia="Open Sans" w:hAnsi="Open Sans"/>
          <w:color w:val="FFFFFF"/>
          <w:sz w:val="2"/>
          <w:szCs w:val="2"/>
        </w:rPr>
        <w:t xml:space="preserve">11  Technijian Capability Proof — What We’ve Built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Technijian Capability Proof — What We’ve Built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is the credibility centerpiece, and it comes before the AI growth pitch. We separate two things plainly: proven builds Technijian has actually delivered, and the productized services Pacific Utility would engage. We have not built an AI estimating-and-bid platform for an underground-utility contractor before, and we say so; what follows maps real, delivered capabilities to this specific firm, honestly labeled — because a contractor that lives on accountable scopes deserves the same discipline from its technology partner.</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Proven Builds — Systems Technijian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 Document Intelligence inside a FINRA Broker-Dealer’s Controls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that auto-populates complex, structured questionnaires for FINRA-registered broker-dealers, cutting response time from days to minutes with 60–80% less manual review — inside the firm’s supervision and review controls.</w:t>
            </w:r>
          </w:p>
          <w:p>
            <w:pPr>
              <w:spacing w:after="60"/>
            </w:pPr>
            <w:r>
              <w:rPr>
                <w:rFonts w:ascii="Open Sans" w:cs="Open Sans" w:eastAsia="Open Sans" w:hAnsi="Open Sans"/>
                <w:b/>
                <w:bCs/>
                <w:color w:val="F67D4B"/>
                <w:sz w:val="20"/>
                <w:szCs w:val="20"/>
              </w:rPr>
              <w:t xml:space="preserve">How This Applies to Pacific Utility: </w:t>
            </w:r>
            <w:r>
              <w:rPr>
                <w:rFonts w:ascii="Open Sans" w:cs="Open Sans" w:eastAsia="Open Sans" w:hAnsi="Open Sans"/>
                <w:color w:val="59595B"/>
                <w:sz w:val="20"/>
                <w:szCs w:val="20"/>
              </w:rPr>
              <w:t xml:space="preserve">This maps directly to bid and RFP assembly: the same approach drafts responsive public-works bids, assembles prequalification packages, and pulls the right details from twenty-five years of past bids — with the estimator reviewing and owning the result.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Multi-Agent SEO + Answer-Engine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operates a multi-agent platform (Claude, GPT-4o, and Gemini with MCP servers, plus SEMrush, GA4, and Perplexity) that produces authority content, ranks it in Google, and positions clients as the cited source inside AI assistants — cutting content-production time roughly 70%.</w:t>
            </w:r>
          </w:p>
          <w:p>
            <w:pPr>
              <w:spacing w:after="60"/>
            </w:pPr>
            <w:r>
              <w:rPr>
                <w:rFonts w:ascii="Open Sans" w:cs="Open Sans" w:eastAsia="Open Sans" w:hAnsi="Open Sans"/>
                <w:b/>
                <w:bCs/>
                <w:color w:val="F67D4B"/>
                <w:sz w:val="20"/>
                <w:szCs w:val="20"/>
              </w:rPr>
              <w:t xml:space="preserve">How This Applies to Pacific Utility: </w:t>
            </w:r>
            <w:r>
              <w:rPr>
                <w:rFonts w:ascii="Open Sans" w:cs="Open Sans" w:eastAsia="Open Sans" w:hAnsi="Open Sans"/>
                <w:color w:val="59595B"/>
                <w:sz w:val="20"/>
                <w:szCs w:val="20"/>
              </w:rPr>
              <w:t xml:space="preserve">This is the engine that makes Pacific Utility findable: own "underground / dry / high-voltage utility contractor" across CA, NV, and AZ cities, the "single-source" story, and the Rule 20 undergrounding lane no contractor has claimed.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Knowledge System — Weaviate + Obsidian Institutional Memory</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builds vector-search knowledge systems that turn years of files and tribal knowledge into a searchable, AI-queryable memory — surfacing the right precedent in seconds instead of hours.</w:t>
            </w:r>
          </w:p>
          <w:p>
            <w:pPr>
              <w:spacing w:after="60"/>
            </w:pPr>
            <w:r>
              <w:rPr>
                <w:rFonts w:ascii="Open Sans" w:cs="Open Sans" w:eastAsia="Open Sans" w:hAnsi="Open Sans"/>
                <w:b/>
                <w:bCs/>
                <w:color w:val="F67D4B"/>
                <w:sz w:val="20"/>
                <w:szCs w:val="20"/>
              </w:rPr>
              <w:t xml:space="preserve">How This Applies to Pacific Utility: </w:t>
            </w:r>
            <w:r>
              <w:rPr>
                <w:rFonts w:ascii="Open Sans" w:cs="Open Sans" w:eastAsia="Open Sans" w:hAnsi="Open Sans"/>
                <w:color w:val="59595B"/>
                <w:sz w:val="20"/>
                <w:szCs w:val="20"/>
              </w:rPr>
              <w:t xml:space="preserve">For Pacific Utility it captures twenty-five years of bids, jurisdictional know-how, and conflict-overlay precedents into matched references for the next estimate — the institutional memory that survives a retirement and sharpens every bid.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LLM Council — Three-Model Peer Review for Defensible Output</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an LLM Council pattern (ScamShield) in which three independent models review and challenge one another’s output before anything is finalized — raising accuracy and catching errors a single model misses.</w:t>
            </w:r>
          </w:p>
          <w:p>
            <w:pPr>
              <w:spacing w:after="60"/>
            </w:pPr>
            <w:r>
              <w:rPr>
                <w:rFonts w:ascii="Open Sans" w:cs="Open Sans" w:eastAsia="Open Sans" w:hAnsi="Open Sans"/>
                <w:b/>
                <w:bCs/>
                <w:color w:val="F67D4B"/>
                <w:sz w:val="20"/>
                <w:szCs w:val="20"/>
              </w:rPr>
              <w:t xml:space="preserve">How This Applies to Pacific Utility: </w:t>
            </w:r>
            <w:r>
              <w:rPr>
                <w:rFonts w:ascii="Open Sans" w:cs="Open Sans" w:eastAsia="Open Sans" w:hAnsi="Open Sans"/>
                <w:color w:val="59595B"/>
                <w:sz w:val="20"/>
                <w:szCs w:val="20"/>
              </w:rPr>
              <w:t xml:space="preserve">For a firm whose bids are fixed-price and safety-critical, the same peer-review pattern strengthens a first-pass takeoff or estimate the licensed estimator then verifies and signs — accuracy as a discipline, before the number goes out the door.</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Productized Services Pacific Utility Would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SEO — Answer-Engine, Tri-State Local &amp; the Single-Source Story</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SEO is Technijian’s local and answer-engine search service — answer-engine optimization, authority and project-proof content, schema and structure, and local search. (New for Pacific Utility — there is no SEO program today.)</w:t>
            </w:r>
          </w:p>
          <w:p>
            <w:pPr>
              <w:spacing w:after="60"/>
            </w:pPr>
            <w:r>
              <w:rPr>
                <w:rFonts w:ascii="Open Sans" w:cs="Open Sans" w:eastAsia="Open Sans" w:hAnsi="Open Sans"/>
                <w:b/>
                <w:bCs/>
                <w:color w:val="F67D4B"/>
                <w:sz w:val="20"/>
                <w:szCs w:val="20"/>
              </w:rPr>
              <w:t xml:space="preserve">How This Applies to Pacific Utility: </w:t>
            </w:r>
            <w:r>
              <w:rPr>
                <w:rFonts w:ascii="Open Sans" w:cs="Open Sans" w:eastAsia="Open Sans" w:hAnsi="Open Sans"/>
                <w:color w:val="59595B"/>
                <w:sz w:val="20"/>
                <w:szCs w:val="20"/>
              </w:rPr>
              <w:t xml:space="preserve">It makes the real capability visible: the tri-state underground-contractor answer, the single-source story, the Rule 20 / undergrounding authority lane, and a merchandised project-proof scoreboard.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AI Lead Gen — Project, Permit &amp; Account Intelligence</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AI Lead Gen is Technijian’s productized intelligence service — it identifies and profiles high-fit accounts and opportunities from public data, enriches and prioritizes them, and supports targeted, relationship-led pursuit (not volume prospecting).</w:t>
            </w:r>
          </w:p>
          <w:p>
            <w:pPr>
              <w:spacing w:after="60"/>
            </w:pPr>
            <w:r>
              <w:rPr>
                <w:rFonts w:ascii="Open Sans" w:cs="Open Sans" w:eastAsia="Open Sans" w:hAnsi="Open Sans"/>
                <w:b/>
                <w:bCs/>
                <w:color w:val="F67D4B"/>
                <w:sz w:val="20"/>
                <w:szCs w:val="20"/>
              </w:rPr>
              <w:t xml:space="preserve">How This Applies to Pacific Utility: </w:t>
            </w:r>
            <w:r>
              <w:rPr>
                <w:rFonts w:ascii="Open Sans" w:cs="Open Sans" w:eastAsia="Open Sans" w:hAnsi="Open Sans"/>
                <w:color w:val="59595B"/>
                <w:sz w:val="20"/>
                <w:szCs w:val="20"/>
              </w:rPr>
              <w:t xml:space="preserve">For Pacific Utility it flags developers, master-planned communities, agencies, and utility programs entitling or permitting underground and electrical scope across CA, NV, and AZ — months early, so the firm bids before the field crowds in.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Dev &amp; My AI — AI Estimating, Bid Assembly &amp; Knowledge</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Dev and My AI are Technijian’s custom-application and applied-AI services — built on an AI-native lifecycle and integrated with the platforms a firm already uses for estimating, project management, and documents.</w:t>
            </w:r>
          </w:p>
          <w:p>
            <w:pPr>
              <w:spacing w:after="60"/>
            </w:pPr>
            <w:r>
              <w:rPr>
                <w:rFonts w:ascii="Open Sans" w:cs="Open Sans" w:eastAsia="Open Sans" w:hAnsi="Open Sans"/>
                <w:b/>
                <w:bCs/>
                <w:color w:val="F67D4B"/>
                <w:sz w:val="20"/>
                <w:szCs w:val="20"/>
              </w:rPr>
              <w:t xml:space="preserve">How This Applies to Pacific Utility: </w:t>
            </w:r>
            <w:r>
              <w:rPr>
                <w:rFonts w:ascii="Open Sans" w:cs="Open Sans" w:eastAsia="Open Sans" w:hAnsi="Open Sans"/>
                <w:color w:val="59595B"/>
                <w:sz w:val="20"/>
                <w:szCs w:val="20"/>
              </w:rPr>
              <w:t xml:space="preserve">For Pacific Utility they build the AI takeoff and estimating acceleration, the bid and RFP assembly, the prequalification and compliance-document automation, and the institutional-knowledge system — with the licensed estimator or PM signing the price.</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 Keep AI Affordable — Seven Models, Routed by Task</w:t>
      </w:r>
    </w:p>
    <w:p>
      <w:pPr>
        <w:spacing w:after="140" w:before="0" w:line="320"/>
        <w:jc w:val="both"/>
      </w:pPr>
      <w:r>
        <w:rPr>
          <w:rFonts w:ascii="Open Sans" w:cs="Open Sans" w:eastAsia="Open Sans" w:hAnsi="Open Sans"/>
          <w:b w:val="false"/>
          <w:bCs w:val="false"/>
          <w:i w:val="false"/>
          <w:iCs w:val="false"/>
          <w:color w:val="59595B"/>
          <w:sz w:val="22"/>
          <w:szCs w:val="22"/>
        </w:rPr>
        <w:t xml:space="preserve">A fair question about running AI across content, project intelligence, and estimating support: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4752"/>
        <w:gridCol w:w="2160"/>
      </w:tblGrid>
      <w:tr>
        <w:trPr>
          <w:cantSplit/>
          <w:tblHeader/>
        </w:trPr>
        <w:tc>
          <w:tcPr>
            <w:tcW w:type="dxa" w:w="2448"/>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w:t>
            </w:r>
          </w:p>
        </w:tc>
        <w:tc>
          <w:tcPr>
            <w:tcW w:type="dxa" w:w="475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1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Share of Work</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Frontier (premium)</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hardest judgment only — final brand-voice pass, compliance-critical answers, the deepest reasoning</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~5–10%</w:t>
            </w:r>
          </w:p>
        </w:tc>
      </w:tr>
      <w:tr>
        <w:trPr>
          <w:cantSplit/>
        </w:trPr>
        <w:tc>
          <w:tcPr>
            <w:tcW w:type="dxa" w:w="24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Workhorse (balanced)</w:t>
            </w:r>
          </w:p>
        </w:tc>
        <w:tc>
          <w:tcPr>
            <w:tcW w:type="dxa" w:w="4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bulk of drafting and reasoning — content, outreach personalization, summarization, scoring</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1EAAC8"/>
                <w:sz w:val="20"/>
                <w:szCs w:val="20"/>
              </w:rPr>
              <w:t xml:space="preserve">~30–40%</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Lightweight (low-cost)</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High-volume mechanical work — classification, extraction, enriching and tagging thousands of records</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~50–60%</w:t>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result: Pacific Utility pays premium-model prices only for the small slice of work that warrants them — typically a 60–80% lower run cost than routing everything to one top-tier model, with no quality loss where it counts. A single authority page is drafted by a low-cost model, tightened and fact-checked by a mid model, and given a final brand-and-accuracy pass by a frontier model — instead of one premium model doing all three at roughly triple the cost. On the work that has to be right, the same three-model peer-review pattern (the LLM Council above) raises accuracy before anything goes out. This is the kind of AI-engineering depth a partner brings that wiring everything to one chatbot does not.</w:t>
      </w:r>
    </w:p>
    <w:p>
      <w:pPr>
        <w:pStyle w:val="Heading1"/>
        <w:keepNext/>
        <w:pageBreakBefore/>
        <w:spacing w:after="120" w:before="0" w:line="240"/>
      </w:pPr>
      <w:r>
        <w:rPr>
          <w:rFonts w:ascii="Open Sans" w:cs="Open Sans" w:eastAsia="Open Sans" w:hAnsi="Open Sans"/>
          <w:color w:val="FFFFFF"/>
          <w:sz w:val="2"/>
          <w:szCs w:val="2"/>
        </w:rPr>
        <w:t xml:space="preserve">12  Understanding AI — A Field Guide for Pacific Utility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Understanding AI — A Field Guide for Pacific Utility Leadership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exists to make the rest of this plan easy to evaluate. No jargon, no hype — just what AI is, where Pacific Utility sits today, how to adopt it without risk, and what comparable firms are already doing. The goal is that Daniel Mole and the leadership team can judge every recommendation that follows on its merits.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AI Actually Is — and Isn’t</w:t>
      </w:r>
    </w:p>
    <w:p>
      <w:pPr>
        <w:spacing w:after="140" w:before="0" w:line="320"/>
        <w:jc w:val="both"/>
      </w:pPr>
      <w:r>
        <w:rPr>
          <w:rFonts w:ascii="Open Sans" w:cs="Open Sans" w:eastAsia="Open Sans" w:hAnsi="Open Sans"/>
          <w:b w:val="false"/>
          <w:bCs w:val="false"/>
          <w:i w:val="false"/>
          <w:iCs w:val="false"/>
          <w:color w:val="59595B"/>
          <w:sz w:val="22"/>
          <w:szCs w:val="22"/>
        </w:rPr>
        <w:t xml:space="preserve">As MIT Sloan puts it, a leader needs to know what AI can and cannot do — not how to build it. In practice, the only distinction that matters for planning is this:</w:t>
      </w:r>
    </w:p>
    <w:p>
      <w:pPr>
        <w:pStyle w:val="ListParagraph"/>
        <w:numPr>
          <w:ilvl w:val="0"/>
          <w:numId w:val="2"/>
        </w:numPr>
        <w:spacing w:after="80" w:before="40" w:line="300"/>
      </w:pPr>
      <w:r>
        <w:rPr>
          <w:rFonts w:ascii="Open Sans" w:cs="Open Sans" w:eastAsia="Open Sans" w:hAnsi="Open Sans"/>
          <w:color w:val="59595B"/>
          <w:sz w:val="22"/>
          <w:szCs w:val="22"/>
        </w:rPr>
        <w:t xml:space="preserve">Automation (workflows): the AI follows a path you define — predictable and low-risk. For example, "draft this bid response from these takeoff quantities and the firm’s past bids." This is where almost all near-term value lives.</w:t>
      </w:r>
    </w:p>
    <w:p>
      <w:pPr>
        <w:pStyle w:val="ListParagraph"/>
        <w:numPr>
          <w:ilvl w:val="0"/>
          <w:numId w:val="2"/>
        </w:numPr>
        <w:spacing w:after="80" w:before="40" w:line="300"/>
      </w:pPr>
      <w:r>
        <w:rPr>
          <w:rFonts w:ascii="Open Sans" w:cs="Open Sans" w:eastAsia="Open Sans" w:hAnsi="Open Sans"/>
          <w:color w:val="59595B"/>
          <w:sz w:val="22"/>
          <w:szCs w:val="22"/>
        </w:rPr>
        <w:t xml:space="preserve">Agents: the AI decides the steps itself — more flexible, and it needs human oversight. For example, "watch the permit and bid boards across three states and flag what fits our scope." This comes later, where it earns its place.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operating principle (Anthropic’s guidance on building AI systems) is to use the simplest thing that works. Pacific Utility starts with simple automations that pay off in the first ninety days, and adds autonomous monitoring only where the value is proven — which is exactly how the roadmap in this plan is sequenced. And on fixed-price, safety-critical work the boundary holds throughout: AI assists, the licensed estimator or PM signs.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Pacific Utility Sits Today — The AI Maturity Ladder</w:t>
      </w:r>
    </w:p>
    <w:p>
      <w:pPr>
        <w:spacing w:after="140" w:before="0" w:line="320"/>
        <w:jc w:val="both"/>
      </w:pPr>
      <w:r>
        <w:rPr>
          <w:rFonts w:ascii="Open Sans" w:cs="Open Sans" w:eastAsia="Open Sans" w:hAnsi="Open Sans"/>
          <w:b w:val="false"/>
          <w:bCs w:val="false"/>
          <w:i w:val="false"/>
          <w:iCs w:val="false"/>
          <w:color w:val="59595B"/>
          <w:sz w:val="22"/>
          <w:szCs w:val="22"/>
        </w:rPr>
        <w:t xml:space="preserve">Most established, well-run firms — including Pacific Utility — sit at the first or second rung of a widely-used five-stage AI maturity model (consistent with the Gartner and Google Cloud frameworks). The leaders in any field are only one or two rungs higher, and the gap closes in months, not years.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5200"/>
        <w:gridCol w:w="2080"/>
      </w:tblGrid>
      <w:tr>
        <w:trPr>
          <w:cantSplit/>
          <w:tblHeader/>
        </w:trPr>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2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Looks Like</w:t>
            </w:r>
          </w:p>
        </w:tc>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Pacific Utility Today</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Foundational</w:t>
            </w:r>
          </w:p>
        </w:tc>
        <w:tc>
          <w:tcPr>
            <w:tcW w:type="dxa" w:w="52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Little or no AI; manual, people-dependent processes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006DB6"/>
                <w:sz w:val="20"/>
                <w:szCs w:val="20"/>
              </w:rPr>
              <w:t xml:space="preserve"/>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 Emerging</w:t>
            </w:r>
          </w:p>
        </w:tc>
        <w:tc>
          <w:tcPr>
            <w:tcW w:type="dxa" w:w="52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data and process assets for AI exist (twenty-five years of bids, jurisdictional know-how, a tri-state footprint) but AI is not yet woven into growth or operations</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 You are here</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Operational</w:t>
            </w:r>
          </w:p>
        </w:tc>
        <w:tc>
          <w:tcPr>
            <w:tcW w:type="dxa" w:w="52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runs specific workflows day-to-day — answer-engine content, project intelligence, estimating support — with measured results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Scaled</w:t>
            </w:r>
          </w:p>
        </w:tc>
        <w:tc>
          <w:tcPr>
            <w:tcW w:type="dxa" w:w="52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embedded across growth and operations with governance and dashboards</w:t>
            </w:r>
          </w:p>
        </w:tc>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Transformational</w:t>
            </w:r>
          </w:p>
        </w:tc>
        <w:tc>
          <w:tcPr>
            <w:tcW w:type="dxa" w:w="52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the default way the business competes and runs</w:t>
            </w:r>
          </w:p>
        </w:tc>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Pacific Utility has the raw material most firms lack — a deep bid history and real jurisdictional expertise — which is what puts it at the Emerging stage rather than the first rung. This plan is the path to reach Operational: AI working in the growth engine and inside estimating, within roughly nine months.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Adopting AI Responsibly — Three Risks Every Leader Manages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U.S. government’s NIST AI Risk Management Framework gives leaders a simple mental model — Govern, Map, Measure, Manage. For a fixed-price, safety-critical contractor, three risks matter most, and each has a concrete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3700"/>
        <w:gridCol w:w="3701"/>
      </w:tblGrid>
      <w:tr>
        <w:trPr>
          <w:cantSplit/>
          <w:tblHeader/>
        </w:trPr>
        <w:tc>
          <w:tcPr>
            <w:tcW w:type="dxa" w:w="1959"/>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Risk</w:t>
            </w:r>
          </w:p>
        </w:tc>
        <w:tc>
          <w:tcPr>
            <w:tcW w:type="dxa" w:w="370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w:t>
            </w:r>
          </w:p>
        </w:tc>
        <w:tc>
          <w:tcPr>
            <w:tcW w:type="dxa" w:w="370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Technijian Controls It</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Hallucination</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can state a confident, wrong answer — a takeoff quantity or a bid number that looks right but isn’t</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Human-in-the-loop on anything binding: AI drafts the takeoff and the bid; the licensed estimator or PM verifies and signs the price</w:t>
            </w:r>
          </w:p>
        </w:tc>
      </w:tr>
      <w:tr>
        <w:trPr>
          <w:cantSplit/>
        </w:trPr>
        <w:tc>
          <w:tcPr>
            <w:tcW w:type="dxa" w:w="19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leakage</w:t>
            </w:r>
          </w:p>
        </w:tc>
        <w:tc>
          <w:tcPr>
            <w:tcW w:type="dxa" w:w="37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 data pasted into public tools can escape</w:t>
            </w:r>
          </w:p>
        </w:tc>
        <w:tc>
          <w:tcPr>
            <w:tcW w:type="dxa" w:w="37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Private, governed AI deployments — bid history, pricing, and prequalification data never touch a public model</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accountability</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Untracked AI tools create audit gaps on prevailing-wage and DIR-governed public work</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AI tool inventoried with owner, vendor, and data source — public-works-ready, led by a CISSP-certified team</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Comparable Firms Are Already Doing</w:t>
      </w:r>
    </w:p>
    <w:p>
      <w:pPr>
        <w:pStyle w:val="ListParagraph"/>
        <w:numPr>
          <w:ilvl w:val="0"/>
          <w:numId w:val="2"/>
        </w:numPr>
        <w:spacing w:after="80" w:before="40" w:line="300"/>
      </w:pPr>
      <w:r>
        <w:rPr>
          <w:rFonts w:ascii="Open Sans" w:cs="Open Sans" w:eastAsia="Open Sans" w:hAnsi="Open Sans"/>
          <w:color w:val="59595B"/>
          <w:sz w:val="22"/>
          <w:szCs w:val="22"/>
        </w:rPr>
        <w:t xml:space="preserve">Construction estimating: contractors are using automated takeoff to compress preconstruction from dozens of hours to a fraction, letting each estimator carry more bids — the estimator still reviews and owns the number.</w:t>
      </w:r>
    </w:p>
    <w:p>
      <w:pPr>
        <w:pStyle w:val="ListParagraph"/>
        <w:numPr>
          <w:ilvl w:val="0"/>
          <w:numId w:val="2"/>
        </w:numPr>
        <w:spacing w:after="80" w:before="40" w:line="300"/>
      </w:pPr>
      <w:r>
        <w:rPr>
          <w:rFonts w:ascii="Open Sans" w:cs="Open Sans" w:eastAsia="Open Sans" w:hAnsi="Open Sans"/>
          <w:color w:val="59595B"/>
          <w:sz w:val="22"/>
          <w:szCs w:val="22"/>
        </w:rPr>
        <w:t xml:space="preserve">Business development: developer- and agency-facing firms are using project, permit, and entitlement intelligence to surface the right opportunities months early and bid before the field crowds in.</w:t>
      </w:r>
    </w:p>
    <w:p>
      <w:pPr>
        <w:pStyle w:val="ListParagraph"/>
        <w:numPr>
          <w:ilvl w:val="0"/>
          <w:numId w:val="2"/>
        </w:numPr>
        <w:spacing w:after="80" w:before="40" w:line="300"/>
      </w:pPr>
      <w:r>
        <w:rPr>
          <w:rFonts w:ascii="Open Sans" w:cs="Open Sans" w:eastAsia="Open Sans" w:hAnsi="Open Sans"/>
          <w:color w:val="59595B"/>
          <w:sz w:val="22"/>
          <w:szCs w:val="22"/>
        </w:rPr>
        <w:t xml:space="preserve">Specialty trades: document-heavy regulated contractors are turning multi-day bid, RFP, and prequal assembly into a minutes-long, reviewable draft — responding to more solicitations with the same team.</w:t>
      </w:r>
    </w:p>
    <w:p>
      <w:pPr>
        <w:spacing w:after="140" w:before="40" w:line="320"/>
        <w:jc w:val="both"/>
      </w:pPr>
      <w:r>
        <w:rPr>
          <w:rFonts w:ascii="Open Sans" w:cs="Open Sans" w:eastAsia="Open Sans" w:hAnsi="Open Sans"/>
          <w:b w:val="false"/>
          <w:bCs w:val="false"/>
          <w:i/>
          <w:iCs/>
          <w:color w:val="59595B"/>
          <w:sz w:val="19"/>
          <w:szCs w:val="19"/>
        </w:rPr>
        <w:t xml:space="preserve">These are representative directions of travel across comparable firms, not guarantees; Pacific Utility’s own numbers would be confirmed in discovery. Technijian’s specific, delivered results from prior builds appear in Section 11 (Capability Proof) and feed the engine in Section 13.</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 Day in the Life — A Pacific Utility 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Before vs. After AI</w:t>
            </w:r>
          </w:p>
          <w:p>
            <w:pPr>
              <w:keepNext/>
              <w:keepLines/>
              <w:spacing w:after="60" w:before="40" w:line="300"/>
            </w:pPr>
            <w:r>
              <w:rPr>
                <w:rFonts w:ascii="Open Sans" w:cs="Open Sans" w:eastAsia="Open Sans" w:hAnsi="Open Sans"/>
                <w:color w:val="59595B"/>
                <w:sz w:val="20"/>
                <w:szCs w:val="20"/>
              </w:rPr>
              <w:t xml:space="preserve">TODAY: An estimator learns about a public-works RFP or a developer invitation, hunts for the documents, does the takeoff by hand against volatile material prices, rebuilds scope from memory and old bids, and assembles the prevailing-wage and prequal paperwork — and still has to decline bids there is no bandwidth to reach.</w:t>
            </w:r>
          </w:p>
          <w:p>
            <w:pPr>
              <w:keepNext w:val="false"/>
              <w:keepLines/>
              <w:spacing w:after="60" w:before="40" w:line="300"/>
            </w:pPr>
            <w:r>
              <w:rPr>
                <w:rFonts w:ascii="Open Sans" w:cs="Open Sans" w:eastAsia="Open Sans" w:hAnsi="Open Sans"/>
                <w:color w:val="59595B"/>
                <w:sz w:val="20"/>
                <w:szCs w:val="20"/>
              </w:rPr>
              <w:t xml:space="preserve">WITH AI: Project and permit intelligence flags the right bid early; an AI first-pass takeoff and a draft bid assemble in minutes from the firm’s own history; the prequal and compliance package drafts itself; and the licensed estimator reviews, prices, and signs. The same estimator carries more bids — and the binding constraint, bandwidth, loosens without a hire the labor market can’t supply.</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Why a Partner — vs. Hiring or Doing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Path</w:t>
            </w:r>
          </w:p>
        </w:tc>
        <w:tc>
          <w:tcPr>
            <w:tcW w:type="dxa" w:w="70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Reality</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DIY tools</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Inexpensive, but Pacific Utility assembles, secures, and governs everything — and owns the three risks above alone</w:t>
            </w:r>
          </w:p>
        </w:tc>
      </w:tr>
      <w:tr>
        <w:trPr>
          <w:cantSplit/>
        </w:trPr>
        <w:tc>
          <w:tcPr>
            <w:tcW w:type="dxa" w:w="22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Hire in-house</w:t>
            </w:r>
          </w:p>
        </w:tc>
        <w:tc>
          <w:tcPr>
            <w:tcW w:type="dxa" w:w="70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capable AI leader typically costs $180K+/year and is scarce, and one person cannot cover strategy, build, security, and governance</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Partner (Technijian)</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Strategy, build, security, and governance in one team at a fraction of a hire — with proven builds and CISSP-led security</w:t>
            </w:r>
          </w:p>
        </w:tc>
      </w:tr>
    </w:tbl>
    <w:p>
      <w:pPr>
        <w:spacing w:after="140" w:before="100" w:line="320"/>
        <w:jc w:val="both"/>
      </w:pPr>
      <w:r>
        <w:rPr>
          <w:rFonts w:ascii="Open Sans" w:cs="Open Sans" w:eastAsia="Open Sans" w:hAnsi="Open Sans"/>
          <w:b w:val="false"/>
          <w:bCs w:val="false"/>
          <w:i/>
          <w:iCs/>
          <w:color w:val="59595B"/>
          <w:sz w:val="18"/>
          <w:szCs w:val="18"/>
        </w:rPr>
        <w:t xml:space="preserve">Sources cited in this section: MIT Sloan Management (AI literacy); Anthropic (AI system design); a widely-used five-stage AI maturity model (consistent with Gartner and Google Cloud frameworks); the U.S. NIST AI Risk Management Framework. Full references in the Appendix.</w:t>
      </w:r>
    </w:p>
    <w:p>
      <w:pPr>
        <w:pStyle w:val="Heading1"/>
        <w:keepNext/>
        <w:pageBreakBefore/>
        <w:spacing w:after="120" w:before="0" w:line="240"/>
      </w:pPr>
      <w:r>
        <w:rPr>
          <w:rFonts w:ascii="Open Sans" w:cs="Open Sans" w:eastAsia="Open Sans" w:hAnsi="Open Sans"/>
          <w:color w:val="FFFFFF"/>
          <w:sz w:val="2"/>
          <w:szCs w:val="2"/>
        </w:rPr>
        <w:t xml:space="preserve">13  How AI Transforms Pacific Utility’s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13  How AI Transforms Pacific Utility’s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get found and trusted (own the answer-engine, the single-source story, and the tri-state lane), win the work (project and permit intelligence plus bid and estimating acceleration on the booming grid and public work), and run leaner and remember (a twenty-five-year knowledge system and more bids per estimator). Every part respects the boundary that protects a fixed-price, safety-critical contractor — covered in full in the next section.</w:t>
      </w:r>
    </w:p>
    <w:p>
      <w:pPr>
        <w:spacing w:after="0" w:before="160"/>
      </w:pPr>
      <w:r>
        <w:t xml:space="preserve"/>
      </w:r>
    </w:p>
    <w:p>
      <w:pPr>
        <w:spacing w:after="80" w:before="120"/>
        <w:jc w:val="center"/>
      </w:pPr>
      <w:r>
        <w:drawing>
          <wp:inline distT="0" distB="0" distL="0" distR="0">
            <wp:extent cx="5715000" cy="3552825"/>
            <wp:effectExtent t="0" r="0" b="0" l="0"/>
            <wp:docPr id="1" name="Pacific Utility AI Engine" descr="Pacific Utility AI Engine" title="Pacific Utility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13.0 — The Engine: Get Found &amp; Trusted, Win the Work, and Run Leaner &amp; Remember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2"/>
        <w:gridCol w:w="2228"/>
        <w:gridCol w:w="2674"/>
        <w:gridCol w:w="1337"/>
        <w:gridCol w:w="1339"/>
      </w:tblGrid>
      <w:tr>
        <w:trPr>
          <w:cantSplit/>
          <w:tblHeader/>
        </w:trPr>
        <w:tc>
          <w:tcPr>
            <w:tcW w:type="dxa" w:w="17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22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w:t>
            </w:r>
          </w:p>
        </w:tc>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33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r>
      <w:tr>
        <w:trPr>
          <w:cantSplit/>
        </w:trPr>
        <w:tc>
          <w:tcPr>
            <w:tcW w:type="dxa" w:w="17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Trusted</w:t>
            </w:r>
          </w:p>
        </w:tc>
        <w:tc>
          <w:tcPr>
            <w:tcW w:type="dxa" w:w="22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 tri-state local</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 underground / dry / HV contractor answers in CA, NV, AZ</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authority</w:t>
            </w:r>
          </w:p>
        </w:tc>
        <w:tc>
          <w:tcPr>
            <w:tcW w:type="dxa" w:w="1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7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Trusted</w:t>
            </w:r>
          </w:p>
        </w:tc>
        <w:tc>
          <w:tcPr>
            <w:tcW w:type="dxa" w:w="22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single-source story</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 "one contractor, all five trades" — the schedule-de-risking position</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Organic reach</w:t>
            </w:r>
          </w:p>
        </w:tc>
        <w:tc>
          <w:tcPr>
            <w:tcW w:type="dxa" w:w="1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7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Trusted</w:t>
            </w:r>
          </w:p>
        </w:tc>
        <w:tc>
          <w:tcPr>
            <w:tcW w:type="dxa" w:w="22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Project-proof scoreboard</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Merchandise 25 years and the named agency work</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Credibility</w:t>
            </w:r>
          </w:p>
        </w:tc>
        <w:tc>
          <w:tcPr>
            <w:tcW w:type="dxa" w:w="1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7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Trusted</w:t>
            </w:r>
          </w:p>
        </w:tc>
        <w:tc>
          <w:tcPr>
            <w:tcW w:type="dxa" w:w="22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Rule 20 / undergrounding authority</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Claim the grid-hardening search lane no contractor owns</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Local visibility</w:t>
            </w:r>
          </w:p>
        </w:tc>
        <w:tc>
          <w:tcPr>
            <w:tcW w:type="dxa" w:w="1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7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Work</w:t>
            </w:r>
          </w:p>
        </w:tc>
        <w:tc>
          <w:tcPr>
            <w:tcW w:type="dxa" w:w="22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 &amp; permit intelligence</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Flag the right developers, agencies, and programs months early</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Qualified bids</w:t>
            </w:r>
          </w:p>
        </w:tc>
        <w:tc>
          <w:tcPr>
            <w:tcW w:type="dxa" w:w="1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7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Work</w:t>
            </w:r>
          </w:p>
        </w:tc>
        <w:tc>
          <w:tcPr>
            <w:tcW w:type="dxa" w:w="22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 RFP response automation</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Assemble responsive public and private bids fast</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Time-to-bid</w:t>
            </w:r>
          </w:p>
        </w:tc>
        <w:tc>
          <w:tcPr>
            <w:tcW w:type="dxa" w:w="1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7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Work</w:t>
            </w:r>
          </w:p>
        </w:tc>
        <w:tc>
          <w:tcPr>
            <w:tcW w:type="dxa" w:w="22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estimating &amp; takeoff</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Cut takeoff time; more bids per estimator (human signs)</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Bids per estimator</w:t>
            </w:r>
          </w:p>
        </w:tc>
        <w:tc>
          <w:tcPr>
            <w:tcW w:type="dxa" w:w="1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7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Work</w:t>
            </w:r>
          </w:p>
        </w:tc>
        <w:tc>
          <w:tcPr>
            <w:tcW w:type="dxa" w:w="22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Pre-bid account dossiers</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Brief the team on each target before pursuit</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rate</w:t>
            </w:r>
          </w:p>
        </w:tc>
        <w:tc>
          <w:tcPr>
            <w:tcW w:type="dxa" w:w="1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7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 Leaner &amp; Remember</w:t>
            </w:r>
          </w:p>
        </w:tc>
        <w:tc>
          <w:tcPr>
            <w:tcW w:type="dxa" w:w="22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Institutional-knowledge system</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25 years of bids and jurisdictions into matched precedents</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Estimate speed</w:t>
            </w:r>
          </w:p>
        </w:tc>
        <w:tc>
          <w:tcPr>
            <w:tcW w:type="dxa" w:w="1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7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 Leaner &amp; Remember</w:t>
            </w:r>
          </w:p>
        </w:tc>
        <w:tc>
          <w:tcPr>
            <w:tcW w:type="dxa" w:w="22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Safety &amp; compliance docs</w:t>
            </w:r>
          </w:p>
        </w:tc>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Prevailing-wage, traffic-control, prequal package automation</w:t>
            </w:r>
          </w:p>
        </w:tc>
        <w:tc>
          <w:tcPr>
            <w:tcW w:type="dxa" w:w="13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Admin hours</w:t>
            </w:r>
          </w:p>
        </w:tc>
        <w:tc>
          <w:tcPr>
            <w:tcW w:type="dxa" w:w="1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7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 Leaner &amp; Remember</w:t>
            </w:r>
          </w:p>
        </w:tc>
        <w:tc>
          <w:tcPr>
            <w:tcW w:type="dxa" w:w="22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Schedule &amp; preconstruction</w:t>
            </w:r>
          </w:p>
        </w:tc>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Generative scheduling and substructure-conflict avoidance</w:t>
            </w:r>
          </w:p>
        </w:tc>
        <w:tc>
          <w:tcPr>
            <w:tcW w:type="dxa" w:w="13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Schedule risk</w:t>
            </w:r>
          </w:p>
        </w:tc>
        <w:tc>
          <w:tcPr>
            <w:tcW w:type="dxa" w:w="1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Honest Boundary</w:t>
            </w:r>
          </w:p>
          <w:p>
            <w:pPr>
              <w:keepNext/>
              <w:keepLines/>
              <w:spacing w:after="60" w:before="40" w:line="300"/>
            </w:pPr>
            <w:r>
              <w:rPr>
                <w:rFonts w:ascii="Open Sans" w:cs="Open Sans" w:eastAsia="Open Sans" w:hAnsi="Open Sans"/>
                <w:color w:val="59595B"/>
                <w:sz w:val="20"/>
                <w:szCs w:val="20"/>
              </w:rPr>
              <w:t xml:space="preserve">AI augments the estimators, project managers, and crews — it does not replace them. Their judgment is the product; AI makes the firm faster, sharper, and more visible around it.</w:t>
            </w:r>
          </w:p>
          <w:p>
            <w:pPr>
              <w:keepNext/>
              <w:keepLines/>
              <w:spacing w:after="60" w:before="40" w:line="300"/>
            </w:pPr>
            <w:r>
              <w:rPr>
                <w:rFonts w:ascii="Open Sans" w:cs="Open Sans" w:eastAsia="Open Sans" w:hAnsi="Open Sans"/>
                <w:color w:val="59595B"/>
                <w:sz w:val="20"/>
                <w:szCs w:val="20"/>
              </w:rPr>
              <w:t xml:space="preserve">It integrates around the estimating, project-management, and document systems the firm already uses — it enhances the workflow, it does not rip it out.</w:t>
            </w:r>
          </w:p>
          <w:p>
            <w:pPr>
              <w:keepNext w:val="false"/>
              <w:keepLines/>
              <w:spacing w:after="60" w:before="40" w:line="300"/>
            </w:pPr>
            <w:r>
              <w:rPr>
                <w:rFonts w:ascii="Open Sans" w:cs="Open Sans" w:eastAsia="Open Sans" w:hAnsi="Open Sans"/>
                <w:color w:val="59595B"/>
                <w:sz w:val="20"/>
                <w:szCs w:val="20"/>
              </w:rPr>
              <w:t xml:space="preserve">And the rule never bends on fixed-price, safety-critical work: AI assists; the licensed estimator or project manager owns the final price and signs. The next section makes that boundary explicit.</w:t>
            </w:r>
          </w:p>
        </w:tc>
      </w:tr>
    </w:tbl>
    <w:p>
      <w:pPr>
        <w:pStyle w:val="Heading1"/>
        <w:keepNext/>
        <w:pageBreakBefore/>
        <w:spacing w:after="120" w:before="0" w:line="240"/>
      </w:pPr>
      <w:r>
        <w:rPr>
          <w:rFonts w:ascii="Open Sans" w:cs="Open Sans" w:eastAsia="Open Sans" w:hAnsi="Open Sans"/>
          <w:color w:val="FFFFFF"/>
          <w:sz w:val="2"/>
          <w:szCs w:val="2"/>
        </w:rPr>
        <w:t xml:space="preserve">14  The Boundary That Builds Trust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14  The Boundary That Builds Trust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Underground utility work is fixed-price and safety-critical, and that fact sets a hard boundary on where AI belongs — a boundary that, stated plainly, becomes a trust signal rather than a caveat. A bid is a binding price; a high-voltage installation is life-safety work; a public bid carries prevailing-wage and compliance obligations. AI can take off quantities, draft the bid, assemble the prequal package, and surface the precedent in seconds — but it cannot own the number or the safety sign-off. The licensed estimator and the project manager do. That is not a limitation on the strategy; it is the discipline that makes the strategy safe to run, and it is exactly the discipline a careful contractor already lives by.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463"/>
        <w:gridCol w:w="3464"/>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Where the Risk Lives</w:t>
            </w:r>
          </w:p>
        </w:tc>
        <w:tc>
          <w:tcPr>
            <w:tcW w:type="dxa" w:w="346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It’s Critical</w:t>
            </w:r>
          </w:p>
        </w:tc>
        <w:tc>
          <w:tcPr>
            <w:tcW w:type="dxa" w:w="346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AI Boundary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fixed-price bid</w:t>
            </w:r>
          </w:p>
        </w:tc>
        <w:tc>
          <w:tcPr>
            <w:tcW w:type="dxa" w:w="346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binding price; a scope gap or takeoff error transfers real, uninsured risk to the contractor</w:t>
            </w:r>
          </w:p>
        </w:tc>
        <w:tc>
          <w:tcPr>
            <w:tcW w:type="dxa" w:w="34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does the first-pass takeoff and assembles the bid; the licensed estimator verifies and owns the final number</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High-voltage / life-safety</w:t>
            </w:r>
          </w:p>
        </w:tc>
        <w:tc>
          <w:tcPr>
            <w:tcW w:type="dxa" w:w="346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"There is no such thing as discount high voltage" — errors are safety events, not cost overruns</w:t>
            </w:r>
          </w:p>
        </w:tc>
        <w:tc>
          <w:tcPr>
            <w:tcW w:type="dxa" w:w="34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drafts documentation and checklists; the qualified professional makes every safety and energization call</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Public-works compliance</w:t>
            </w:r>
          </w:p>
        </w:tc>
        <w:tc>
          <w:tcPr>
            <w:tcW w:type="dxa" w:w="346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Prevailing-wage, DIR registration, traffic-control, and bid-responsiveness rules govern public bids</w:t>
            </w:r>
          </w:p>
        </w:tc>
        <w:tc>
          <w:tcPr>
            <w:tcW w:type="dxa" w:w="34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assembles compliant, complete packages; the firm’s compliance owner reviews and submits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Professional liability</w:t>
            </w:r>
          </w:p>
        </w:tc>
        <w:tc>
          <w:tcPr>
            <w:tcW w:type="dxa" w:w="346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15–20% estimate error can exceed what PL insurance covers if not validated by a qualified estimator</w:t>
            </w:r>
          </w:p>
        </w:tc>
        <w:tc>
          <w:tcPr>
            <w:tcW w:type="dxa" w:w="346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accelerates; the credentialed human signs — so the work stays inside the firm’s coverage and controls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Estimate defensibility</w:t>
            </w:r>
          </w:p>
        </w:tc>
        <w:tc>
          <w:tcPr>
            <w:tcW w:type="dxa" w:w="346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bid has to hold up to an owner, a GC, and the firm’s own risk review</w:t>
            </w:r>
          </w:p>
        </w:tc>
        <w:tc>
          <w:tcPr>
            <w:tcW w:type="dxa" w:w="346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three-model peer-review pass strengthens the first draft before the estimator signs — accuracy as a discipline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Boundary Is the Differentiator</w:t>
            </w:r>
          </w:p>
          <w:p>
            <w:pPr>
              <w:keepNext/>
              <w:keepLines/>
              <w:spacing w:after="60" w:before="40" w:line="300"/>
            </w:pPr>
            <w:r>
              <w:rPr>
                <w:rFonts w:ascii="Open Sans" w:cs="Open Sans" w:eastAsia="Open Sans" w:hAnsi="Open Sans"/>
                <w:color w:val="59595B"/>
                <w:sz w:val="20"/>
                <w:szCs w:val="20"/>
              </w:rPr>
              <w:t xml:space="preserve">The rule is simple and absolute: AI assists; the licensed estimator or project manager signs; safety-critical calls stay with the qualified professional. Stated to a developer or an agency, it is a reason to trust the firm, not a disclaimer.</w:t>
            </w:r>
          </w:p>
          <w:p>
            <w:pPr>
              <w:keepNext/>
              <w:keepLines/>
              <w:spacing w:after="60" w:before="40" w:line="300"/>
            </w:pPr>
            <w:r>
              <w:rPr>
                <w:rFonts w:ascii="Open Sans" w:cs="Open Sans" w:eastAsia="Open Sans" w:hAnsi="Open Sans"/>
                <w:color w:val="59595B"/>
                <w:sz w:val="20"/>
                <w:szCs w:val="20"/>
              </w:rPr>
              <w:t xml:space="preserve">It is also the honest answer to the fear every contractor has about AI: it does not bid the job for you, and it does not put an unreviewed number or an unsafe call into the field.</w:t>
            </w:r>
          </w:p>
          <w:p>
            <w:pPr>
              <w:keepNext w:val="false"/>
              <w:keepLines/>
              <w:spacing w:after="60" w:before="40" w:line="300"/>
            </w:pPr>
            <w:r>
              <w:rPr>
                <w:rFonts w:ascii="Open Sans" w:cs="Open Sans" w:eastAsia="Open Sans" w:hAnsi="Open Sans"/>
                <w:color w:val="59595B"/>
                <w:sz w:val="20"/>
                <w:szCs w:val="20"/>
              </w:rPr>
              <w:t xml:space="preserve">And it is genuinely hard to do well — which is the point. The firm that deploys AI inside this boundary in 2026 builds a real, durable advantage over rivals who either avoid AI entirely or use it carelessly.</w:t>
            </w:r>
          </w:p>
        </w:tc>
      </w:tr>
    </w:tbl>
    <w:p>
      <w:pPr>
        <w:pStyle w:val="Heading1"/>
        <w:keepNext/>
        <w:pageBreakBefore/>
        <w:spacing w:after="120" w:before="0" w:line="240"/>
      </w:pPr>
      <w:r>
        <w:rPr>
          <w:rFonts w:ascii="Open Sans" w:cs="Open Sans" w:eastAsia="Open Sans" w:hAnsi="Open Sans"/>
          <w:color w:val="FFFFFF"/>
          <w:sz w:val="2"/>
          <w:szCs w:val="2"/>
        </w:rPr>
        <w:t xml:space="preserve">15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shows where the value comes from and what the program costs. Pricing shows real published Technijian rates where they exist and "to be determined in discovery" everywhere else; the return is shown as the method we will measure, not an invented multiple. The discovery questions in Section 19 replace estimates with Pacific Utility’s real baselines.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Lift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433"/>
        <w:gridCol w:w="2433"/>
        <w:gridCol w:w="1686"/>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Measure</w:t>
            </w:r>
          </w:p>
        </w:tc>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visibility</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Absent</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across CA / NV / AZ</w:t>
            </w:r>
          </w:p>
        </w:tc>
        <w:tc>
          <w:tcPr>
            <w:tcW w:type="dxa" w:w="1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inbound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single-source story</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Barely stated</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Owned and searchable</w:t>
            </w:r>
          </w:p>
        </w:tc>
        <w:tc>
          <w:tcPr>
            <w:tcW w:type="dxa" w:w="1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Differentiated</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Project-proof</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Un-scored</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Merchandised scoreboard</w:t>
            </w:r>
          </w:p>
        </w:tc>
        <w:tc>
          <w:tcPr>
            <w:tcW w:type="dxa" w:w="1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Credibility</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 &amp; bid intelligence</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Right projects flagged early</w:t>
            </w:r>
          </w:p>
        </w:tc>
        <w:tc>
          <w:tcPr>
            <w:tcW w:type="dxa" w:w="1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qualified bids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Estimating throughput</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takeoffs</w:t>
            </w:r>
          </w:p>
        </w:tc>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AI-assisted (human signs)</w:t>
            </w:r>
          </w:p>
        </w:tc>
        <w:tc>
          <w:tcPr>
            <w:tcW w:type="dxa" w:w="1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Bids per estimator</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Institutional knowledge</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 people’s heads</w:t>
            </w:r>
          </w:p>
        </w:tc>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Captured + searchable</w:t>
            </w:r>
          </w:p>
        </w:tc>
        <w:tc>
          <w:tcPr>
            <w:tcW w:type="dxa" w:w="1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Faster, sharper bids</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We’ll Measure the Return (Illustrative)</w:t>
      </w:r>
    </w:p>
    <w:p>
      <w:pPr>
        <w:spacing w:after="140" w:before="0" w:line="320"/>
        <w:jc w:val="both"/>
      </w:pPr>
      <w:r>
        <w:rPr>
          <w:rFonts w:ascii="Open Sans" w:cs="Open Sans" w:eastAsia="Open Sans" w:hAnsi="Open Sans"/>
          <w:b w:val="false"/>
          <w:bCs w:val="false"/>
          <w:i w:val="false"/>
          <w:iCs w:val="false"/>
          <w:color w:val="59595B"/>
          <w:sz w:val="22"/>
          <w:szCs w:val="22"/>
        </w:rPr>
        <w:t xml:space="preserve">We do not lead with a multiple we cannot back. Year-1 return is modeled from the levers below, each tied to a number Pacific Utility already tracks — so the model is built from real baselines in discovery, not assumed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Value Lever</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Mechanism</w:t>
            </w:r>
          </w:p>
        </w:tc>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Number We Calibrate From</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bids won</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Project/permit intelligence and faster, sharper bids win more of the booming grid and public work</w:t>
            </w:r>
          </w:p>
        </w:tc>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Bid volume, win rate, and average job size by channel</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Estimator throughput</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takeoff and bid assembly let each estimator carry more bids in a labor-short market</w:t>
            </w:r>
          </w:p>
        </w:tc>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Estimating capacity and bids declined for lack of bandwidth</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inbound</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visibility and the single-source story make the firm found and specified</w:t>
            </w:r>
          </w:p>
        </w:tc>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inbound mix and how buyers find the firm today</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Illustrative until discovery — no number we can’t back. Revenue is attributed to the program, not guaranteed; in this market a single additional grid or public-works award can outweigh the entire program cost.</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Entry Offer — The 90-Day AI Visibility &amp; Bid-Intelligence Pilot</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one clearly-scoped entry program — not an open-ended engagement. The 90-Day AI Visibility &amp; Bid-Intelligence Pilot stands up Pacific Utility’s answer-engine presence and the single-source story, and turns on the first project- and permit-intelligence feed — proving the lift before any larger estimating build is discussed. It runs on modest, published rates with no large up-front build.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9"/>
        <w:gridCol w:w="3533"/>
        <w:gridCol w:w="1528"/>
        <w:gridCol w:w="1530"/>
      </w:tblGrid>
      <w:tr>
        <w:trPr>
          <w:cantSplit/>
          <w:tblHeader/>
        </w:trPr>
        <w:tc>
          <w:tcPr>
            <w:tcW w:type="dxa" w:w="27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5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52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53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Investment</w:t>
            </w:r>
          </w:p>
        </w:tc>
      </w:tr>
      <w:tr>
        <w:trPr>
          <w:cantSplit/>
        </w:trPr>
        <w:tc>
          <w:tcPr>
            <w:tcW w:type="dxa" w:w="27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Answer-Engine, Tri-State Local &amp; Single-Source</w:t>
            </w:r>
          </w:p>
        </w:tc>
        <w:tc>
          <w:tcPr>
            <w:tcW w:type="dxa" w:w="35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 + the single-source story + Rule 20 / undergrounding lane + project-proof scoreboard (new)</w:t>
            </w:r>
          </w:p>
        </w:tc>
        <w:tc>
          <w:tcPr>
            <w:tcW w:type="dxa" w:w="15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$500–$1,500/mo*</w:t>
            </w:r>
          </w:p>
        </w:tc>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Published tier</w:t>
            </w:r>
          </w:p>
        </w:tc>
      </w:tr>
      <w:tr>
        <w:trPr>
          <w:cantSplit/>
        </w:trPr>
        <w:tc>
          <w:tcPr>
            <w:tcW w:type="dxa" w:w="27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Project, Permit &amp; Account Intelligence (Starter)</w:t>
            </w:r>
          </w:p>
        </w:tc>
        <w:tc>
          <w:tcPr>
            <w:tcW w:type="dxa" w:w="35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Early project/permit/program intelligence across CA, NV, AZ; relationship-led, not volume</w:t>
            </w:r>
          </w:p>
        </w:tc>
        <w:tc>
          <w:tcPr>
            <w:tcW w:type="dxa" w:w="15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$1,499/mo*</w:t>
            </w:r>
          </w:p>
        </w:tc>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 $2,500 setup</w:t>
            </w:r>
          </w:p>
        </w:tc>
      </w:tr>
      <w:tr>
        <w:trPr>
          <w:cantSplit/>
        </w:trPr>
        <w:tc>
          <w:tcPr>
            <w:tcW w:type="dxa" w:w="27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Readiness Workshop + Content Engine kickoff</w:t>
            </w:r>
          </w:p>
        </w:tc>
        <w:tc>
          <w:tcPr>
            <w:tcW w:type="dxa" w:w="35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 alignment, the boundary, and the content engine</w:t>
            </w:r>
          </w:p>
        </w:tc>
        <w:tc>
          <w:tcPr>
            <w:tcW w:type="dxa" w:w="15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TBD</w:t>
            </w:r>
          </w:p>
        </w:tc>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F67D4B"/>
                <w:sz w:val="20"/>
                <w:szCs w:val="20"/>
              </w:rPr>
              <w:t xml:space="preserve">TBD — discovery</w:t>
            </w:r>
          </w:p>
        </w:tc>
      </w:tr>
      <w:tr>
        <w:trPr>
          <w:cantSplit/>
        </w:trPr>
        <w:tc>
          <w:tcPr>
            <w:tcW w:type="dxa" w:w="27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90-DAY PILOT — SUBTOTAL</w:t>
            </w:r>
          </w:p>
        </w:tc>
        <w:tc>
          <w:tcPr>
            <w:tcW w:type="dxa" w:w="35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new growth layer: My SEO + Lead Gen Starter + the readiness workshop — starts small, no large build</w:t>
            </w:r>
          </w:p>
        </w:tc>
        <w:tc>
          <w:tcPr>
            <w:tcW w:type="dxa" w:w="15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Published + TBD</w:t>
            </w:r>
          </w:p>
        </w:tc>
      </w:tr>
      <w:tr>
        <w:trPr>
          <w:cantSplit/>
        </w:trPr>
        <w:tc>
          <w:tcPr>
            <w:tcW w:type="dxa" w:w="27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My AI — AI Estimating + Bid-Assembly + Knowledge (Phase 2)</w:t>
            </w:r>
          </w:p>
        </w:tc>
        <w:tc>
          <w:tcPr>
            <w:tcW w:type="dxa" w:w="35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takeoff/estimating, bid &amp; RFP assembly, prequal/compliance docs, institutional-knowledge system</w:t>
            </w:r>
          </w:p>
        </w:tc>
        <w:tc>
          <w:tcPr>
            <w:tcW w:type="dxa" w:w="15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F67D4B"/>
                <w:sz w:val="20"/>
                <w:szCs w:val="20"/>
              </w:rPr>
              <w:t xml:space="preserve">TBD — discovery</w:t>
            </w:r>
          </w:p>
        </w:tc>
      </w:tr>
      <w:tr>
        <w:trPr>
          <w:cantSplit/>
        </w:trPr>
        <w:tc>
          <w:tcPr>
            <w:tcW w:type="dxa" w:w="27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App Services (Phase 2)</w:t>
            </w:r>
          </w:p>
        </w:tc>
        <w:tc>
          <w:tcPr>
            <w:tcW w:type="dxa" w:w="35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support for the AI estimating and knowledge platform</w:t>
            </w:r>
          </w:p>
        </w:tc>
        <w:tc>
          <w:tcPr>
            <w:tcW w:type="dxa" w:w="15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TBD</w:t>
            </w:r>
          </w:p>
        </w:tc>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F67D4B"/>
                <w:sz w:val="20"/>
                <w:szCs w:val="20"/>
              </w:rPr>
              <w:t xml:space="preserve">TBD — discovery</w:t>
            </w:r>
          </w:p>
        </w:tc>
      </w:tr>
      <w:tr>
        <w:trPr>
          <w:cantSplit/>
        </w:trPr>
        <w:tc>
          <w:tcPr>
            <w:tcW w:type="dxa" w:w="27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 (Phase 2)</w:t>
            </w:r>
          </w:p>
        </w:tc>
        <w:tc>
          <w:tcPr>
            <w:tcW w:type="dxa" w:w="35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Program leadership across authority, intelligence, and estimating</w:t>
            </w:r>
          </w:p>
        </w:tc>
        <w:tc>
          <w:tcPr>
            <w:tcW w:type="dxa" w:w="15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TBD</w:t>
            </w:r>
          </w:p>
        </w:tc>
        <w:tc>
          <w:tcPr>
            <w:tcW w:type="dxa" w:w="153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F67D4B"/>
                <w:sz w:val="20"/>
                <w:szCs w:val="20"/>
              </w:rPr>
              <w:t xml:space="preserve">TBD — discovery</w:t>
            </w:r>
          </w:p>
        </w:tc>
      </w:tr>
      <w:tr>
        <w:trPr>
          <w:cantSplit/>
        </w:trPr>
        <w:tc>
          <w:tcPr>
            <w:tcW w:type="dxa" w:w="27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ENGINE (entry + expansion)</w:t>
            </w:r>
          </w:p>
        </w:tc>
        <w:tc>
          <w:tcPr>
            <w:tcW w:type="dxa" w:w="35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Finalized after discovery</w:t>
            </w:r>
          </w:p>
        </w:tc>
        <w:tc>
          <w:tcPr>
            <w:tcW w:type="dxa" w:w="15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53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TBD</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Real published Technijian list rates. My SEO published tiers run $500–$1,500/mo (final tier set in discovery). My AI Lead Gen Starter is $1,499/mo plus a one-time $2,500 setup. My AI, My Dev, the AI estimating and knowledge build, managed app services, the advisor, and the workshop have no published rate and are scoped in discovery — the Year-1 total is finalized then.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Pilot Bar — and Our Commitment</w:t>
            </w:r>
          </w:p>
          <w:p>
            <w:pPr>
              <w:keepNext/>
              <w:keepLines/>
              <w:spacing w:after="60" w:before="40" w:line="300"/>
            </w:pPr>
            <w:r>
              <w:rPr>
                <w:rFonts w:ascii="Open Sans" w:cs="Open Sans" w:eastAsia="Open Sans" w:hAnsi="Open Sans"/>
                <w:color w:val="59595B"/>
                <w:sz w:val="20"/>
                <w:szCs w:val="20"/>
              </w:rPr>
              <w:t xml:space="preserve">Success metric: within 90 days, Pacific Utility is cited by a major AI assistant (ChatGPT, Perplexity, or Microsoft Copilot) for a high-intent underground / undergrounding / high-voltage contractor query in at least one of its three states, AND the firm is receiving its first project- and permit-intelligence feed on target submarkets.</w:t>
            </w:r>
          </w:p>
          <w:p>
            <w:pPr>
              <w:keepNext w:val="false"/>
              <w:keepLines/>
              <w:spacing w:after="60" w:before="40" w:line="300"/>
            </w:pPr>
            <w:r>
              <w:rPr>
                <w:rFonts w:ascii="Open Sans" w:cs="Open Sans" w:eastAsia="Open Sans" w:hAnsi="Open Sans"/>
                <w:color w:val="59595B"/>
                <w:sz w:val="20"/>
                <w:szCs w:val="20"/>
              </w:rPr>
              <w:t xml:space="preserve">Our commitment: the entry program is month-to-month — no long lock-in, no obligation to continue if it doesn’t hit the metric by day 90. If it has not moved the needle on the metric above, you are under no obligation to continue, and we will tell you honestly whether it is worth continuing. You carry the upside, not the risk.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Math That Matters</w:t>
            </w:r>
          </w:p>
          <w:p>
            <w:pPr>
              <w:keepNext/>
              <w:keepLines/>
              <w:spacing w:after="60" w:before="40" w:line="300"/>
            </w:pPr>
            <w:r>
              <w:rPr>
                <w:rFonts w:ascii="Open Sans" w:cs="Open Sans" w:eastAsia="Open Sans" w:hAnsi="Open Sans"/>
                <w:color w:val="59595B"/>
                <w:sz w:val="20"/>
                <w:szCs w:val="20"/>
              </w:rPr>
              <w:t xml:space="preserve">The cheapest wins come first: making the firm answer-engine-visible and merchandising the track record start earning authority and the right bids on a modest, published-rate entry — with no large build to begin.</w:t>
            </w:r>
          </w:p>
          <w:p>
            <w:pPr>
              <w:keepNext/>
              <w:keepLines/>
              <w:spacing w:after="60" w:before="40" w:line="300"/>
            </w:pPr>
            <w:r>
              <w:rPr>
                <w:rFonts w:ascii="Open Sans" w:cs="Open Sans" w:eastAsia="Open Sans" w:hAnsi="Open Sans"/>
                <w:color w:val="59595B"/>
                <w:sz w:val="20"/>
                <w:szCs w:val="20"/>
              </w:rPr>
              <w:t xml:space="preserve">In this market the economics are asymmetric: a single additional grid, undergrounding, or public-works award can outweigh the entire year’s program cost many times over.</w:t>
            </w:r>
          </w:p>
          <w:p>
            <w:pPr>
              <w:keepNext w:val="false"/>
              <w:keepLines/>
              <w:spacing w:after="60" w:before="40" w:line="300"/>
            </w:pPr>
            <w:r>
              <w:rPr>
                <w:rFonts w:ascii="Open Sans" w:cs="Open Sans" w:eastAsia="Open Sans" w:hAnsi="Open Sans"/>
                <w:color w:val="59595B"/>
                <w:sz w:val="20"/>
                <w:szCs w:val="20"/>
              </w:rPr>
              <w:t xml:space="preserve">And the expansion build pays where it hurts most — estimating bandwidth — turning the labor shortage from a ceiling on growth into an advantage over slower-moving rivals.</w:t>
            </w:r>
          </w:p>
        </w:tc>
      </w:tr>
    </w:tbl>
    <w:p>
      <w:pPr>
        <w:pStyle w:val="Heading1"/>
        <w:keepNext/>
        <w:pageBreakBefore/>
        <w:spacing w:after="120" w:before="0" w:line="240"/>
      </w:pPr>
      <w:r>
        <w:rPr>
          <w:rFonts w:ascii="Open Sans" w:cs="Open Sans" w:eastAsia="Open Sans" w:hAnsi="Open Sans"/>
          <w:color w:val="FFFFFF"/>
          <w:sz w:val="2"/>
          <w:szCs w:val="2"/>
        </w:rPr>
        <w:t xml:space="preserve">16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16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270-day cadence: make the firm found and trusted first, then turn on the project intelligence and bid acceleration, then build the AI estimating and knowledge engine. The lowest-cost, highest-visibility wins land in the first ninety days; the estimating build gets realistic runway and the boundary built in.</w:t>
      </w:r>
    </w:p>
    <w:p>
      <w:pPr>
        <w:spacing w:after="0" w:before="200"/>
      </w:pPr>
      <w:r>
        <w:t xml:space="preserve"/>
      </w:r>
    </w:p>
    <w:p>
      <w:pPr>
        <w:spacing w:after="80" w:before="120"/>
        <w:jc w:val="center"/>
      </w:pPr>
      <w:r>
        <w:drawing>
          <wp:inline distT="0" distB="0" distL="0" distR="0">
            <wp:extent cx="5715000" cy="2486025"/>
            <wp:effectExtent t="0" r="0" b="0" l="0"/>
            <wp:docPr id="1" name="Pacific Utility 90-180-270 Day Roadmap" descr="Pacific Utility 90-180-270 Day Roadmap" title="Pacific Utility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16.0 — Pacific Utility Growth Program: 90 / 180 / 270-Day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Make the firm found and trusted the way buyers and AI engines now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Answer-Engine + Tri-State Local SEO</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answer-engine and local search for underground / dry / high-voltage contractor across CA, NV, and AZ cities; publish the single-source story, schema-marked.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Proof Scoreboard + Rule 20 Authority</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Merchandise twenty-five years and the named agency work into a searchable scoreboard; publish the Rule 20 / undergrounding authority page; restart the news and LinkedIn cadence.</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Win the Work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Surface the right bids early and respond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Project &amp; Permit Intelligence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 on monitoring of developers, master-planned communities, agencies, and utility programs entitling or permitting underground and electrical scope across the three states.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Bid / RFP Automation + Account Dossiers</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bid and RFP response assembly from the firm’s history, and pre-bid account dossiers on the target developers, agencies, and utilities.</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Run Leaner &amp; Remember (Days 181–270)</w:t>
      </w:r>
    </w:p>
    <w:p>
      <w:pPr>
        <w:spacing w:after="140" w:before="0" w:line="320"/>
        <w:jc w:val="both"/>
      </w:pPr>
      <w:r>
        <w:rPr>
          <w:rFonts w:ascii="Open Sans" w:cs="Open Sans" w:eastAsia="Open Sans" w:hAnsi="Open Sans"/>
          <w:b w:val="false"/>
          <w:bCs w:val="false"/>
          <w:i w:val="false"/>
          <w:iCs w:val="false"/>
          <w:color w:val="59595B"/>
          <w:sz w:val="22"/>
          <w:szCs w:val="22"/>
        </w:rPr>
        <w:t xml:space="preserve">Build the AI estimating and knowledge engine — with the estimator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AI Estimating &amp; Takeoff</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 the AI takeoff and estimating acceleration and the prequal/compliance-document automation, with the licensed estimator verifying and signing every price.</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Knowledge System + ROI Dashboard</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the twenty-five-year institutional-knowledge system (matched precedents) and deliver the ROI dashboard against the Section 19 baselines.</w:t>
            </w:r>
          </w:p>
        </w:tc>
      </w:tr>
    </w:tbl>
    <w:p>
      <w:pPr>
        <w:pStyle w:val="Heading1"/>
        <w:keepNext/>
        <w:pageBreakBefore/>
        <w:spacing w:after="120" w:before="0" w:line="240"/>
      </w:pPr>
      <w:r>
        <w:rPr>
          <w:rFonts w:ascii="Open Sans" w:cs="Open Sans" w:eastAsia="Open Sans" w:hAnsi="Open Sans"/>
          <w:color w:val="FFFFFF"/>
          <w:sz w:val="2"/>
          <w:szCs w:val="2"/>
        </w:rPr>
        <w:t xml:space="preserve">17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17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Pacific Utility can take immediately — before any expanded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Publish the "Single Source for All Underground Scopes" Page</w:t>
            </w:r>
          </w:p>
          <w:p>
            <w:pPr>
              <w:keepNext w:val="false"/>
              <w:keepLines/>
              <w:spacing w:after="60" w:before="40" w:line="300"/>
            </w:pPr>
            <w:r>
              <w:rPr>
                <w:rFonts w:ascii="Open Sans" w:cs="Open Sans" w:eastAsia="Open Sans" w:hAnsi="Open Sans"/>
                <w:color w:val="59595B"/>
                <w:sz w:val="20"/>
                <w:szCs w:val="20"/>
              </w:rPr>
              <w:t xml:space="preserve">Take the real all-five-trades capability and structure one definitive, schema-marked page on how the firm de-risks a developer’s schedule. It claims the story no competitor can, at almost no cost.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Stand Up a Simple Project-Proof Scoreboard</w:t>
            </w:r>
          </w:p>
          <w:p>
            <w:pPr>
              <w:keepNext w:val="false"/>
              <w:keepLines/>
              <w:spacing w:after="60" w:before="40" w:line="300"/>
            </w:pPr>
            <w:r>
              <w:rPr>
                <w:rFonts w:ascii="Open Sans" w:cs="Open Sans" w:eastAsia="Open Sans" w:hAnsi="Open Sans"/>
                <w:color w:val="59595B"/>
                <w:sz w:val="20"/>
                <w:szCs w:val="20"/>
              </w:rPr>
              <w:t xml:space="preserve">Add a credible, current scoreboard — twenty-five years, employee-owned, the tri-state licenses, the named Corona / Azusa / Moreno Valley work — so a developer or agency engineer sees the proof at a glance.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Publish One "Rule 20 / Utility Undergrounding Contractor" Answer Page</w:t>
            </w:r>
          </w:p>
          <w:p>
            <w:pPr>
              <w:keepNext w:val="false"/>
              <w:keepLines/>
              <w:spacing w:after="60" w:before="40" w:line="300"/>
            </w:pPr>
            <w:r>
              <w:rPr>
                <w:rFonts w:ascii="Open Sans" w:cs="Open Sans" w:eastAsia="Open Sans" w:hAnsi="Open Sans"/>
                <w:color w:val="59595B"/>
                <w:sz w:val="20"/>
                <w:szCs w:val="20"/>
              </w:rPr>
              <w:t xml:space="preserve">Claim the grid-hardening search lane no contractor owns, exactly as that channel booms. One schema-marked page signals the whole answer-engine strategy.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Date and Restart the News / LinkedIn Cadence</w:t>
            </w:r>
          </w:p>
          <w:p>
            <w:pPr>
              <w:keepNext w:val="false"/>
              <w:keepLines/>
              <w:spacing w:after="60" w:before="40" w:line="300"/>
            </w:pPr>
            <w:r>
              <w:rPr>
                <w:rFonts w:ascii="Open Sans" w:cs="Open Sans" w:eastAsia="Open Sans" w:hAnsi="Open Sans"/>
                <w:color w:val="59595B"/>
                <w:sz w:val="20"/>
                <w:szCs w:val="20"/>
              </w:rPr>
              <w:t xml:space="preserve">The last visible activity is years old. A few current posts — a project energized, a new agency award, the ESOP story — are a fast, free credibility and recency signal buyers actually check.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Set a Project &amp; Permit Alert on the Target Submarkets</w:t>
            </w:r>
          </w:p>
          <w:p>
            <w:pPr>
              <w:keepNext w:val="false"/>
              <w:keepLines/>
              <w:spacing w:after="60" w:before="40" w:line="300"/>
            </w:pPr>
            <w:r>
              <w:rPr>
                <w:rFonts w:ascii="Open Sans" w:cs="Open Sans" w:eastAsia="Open Sans" w:hAnsi="Open Sans"/>
                <w:color w:val="59595B"/>
                <w:sz w:val="20"/>
                <w:szCs w:val="20"/>
              </w:rPr>
              <w:t xml:space="preserve">Turn on a permit/entitlement alert for the SoCal, Las Vegas, and Phoenix submarkets the firm wants to grow in — a free taste of the project-intelligence program, surfacing the right bids early.</w:t>
            </w:r>
          </w:p>
        </w:tc>
      </w:tr>
    </w:tbl>
    <w:p>
      <w:pPr>
        <w:pStyle w:val="Heading1"/>
        <w:keepNext/>
        <w:pageBreakBefore/>
        <w:spacing w:after="120" w:before="0" w:line="240"/>
      </w:pPr>
      <w:r>
        <w:rPr>
          <w:rFonts w:ascii="Open Sans" w:cs="Open Sans" w:eastAsia="Open Sans" w:hAnsi="Open Sans"/>
          <w:color w:val="FFFFFF"/>
          <w:sz w:val="2"/>
          <w:szCs w:val="2"/>
        </w:rPr>
        <w:t xml:space="preserve">18  Questions We Usually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18  Questions We Usually Get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answers to the questions Pacific Utility leadership is most likely asking right now.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Question</w:t>
            </w:r>
          </w:p>
        </w:tc>
        <w:tc>
          <w:tcPr>
            <w:tcW w:type="dxa" w:w="58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Our Honest Answer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 have marketing handled internally. Why add Technijian?</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what works — Melessa’s team owns the brand and the relationships. We add the layer an in-house marketing function rarely builds: answer-engine optimization (so AI assistants cite the firm), the single-source story made searchable, project and permit intelligence, and the AI estimating and bid-assembly tooling. We run alongside your team, not over it.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Isn’t AI mostly hype right now?</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lot of it is. That is why this plan starts with simple, proven automations that pay back fast — answer-engine content and project intelligence — not autonomous "agents" bidding your jobs. We use the simplest tool that works, measure it, and only expand what earns its place. The estimating build comes later, inside the boundary where the licensed estimator still signs the number.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 our data — bid history, pricing, prequal records — safe?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Sensitive data never touches a public AI model; we deploy private, governed systems with human review on anything binding, led by a CISSP-certified team. Data governance is part of the readiness work in the entry program, and it is built for the prevailing-wage and DIR-governed nature of public work.</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We’re a lean team in a labor shortage. Do we have bandwidth for this?</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point is the opposite — to give your estimators and PMs back hours, not add work. Technijian runs the build and the cadence; your involvement is a short strategy session plus reviewing what we draft. The whole thesis is to bid more without a hire the labor market can’t supply.</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if it doesn’t work?</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 90-day pilot with a defined success metric (Section 15), month-to-month with no long lock-in. If it has not moved the needle by day 90, you are under no obligation to continue — and we will tell you honestly whether it is worth it. You carry the upside, not the risk.</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does it really cost?</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runs on real published rates — My SEO at $500–$1,500/mo and My AI Lead Gen Starter at $1,499/mo plus a one-time $2,500 setup — with no large up-front build. The AI estimating and knowledge build is the later expansion, scoped in discovery and only after the pilot proves the lift; the full Year-1 number is finalized then, with no figure we can’t back.</w:t>
            </w:r>
          </w:p>
        </w:tc>
      </w:tr>
    </w:tbl>
    <w:p>
      <w:pPr>
        <w:pStyle w:val="Heading1"/>
        <w:keepNext/>
        <w:pageBreakBefore/>
        <w:spacing w:after="120" w:before="0" w:line="240"/>
      </w:pPr>
      <w:r>
        <w:rPr>
          <w:rFonts w:ascii="Open Sans" w:cs="Open Sans" w:eastAsia="Open Sans" w:hAnsi="Open Sans"/>
          <w:color w:val="FFFFFF"/>
          <w:sz w:val="2"/>
          <w:szCs w:val="2"/>
        </w:rPr>
        <w:t xml:space="preserve">19  Conclusion &amp; Next Steps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19  Conclusion &amp; Next Steps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Pacific Utility has the hard things: more than twenty-five years, an employee-owned culture that retains craftspeople, a tri-state license footprint, named agency work, and the rare ability to self-perform all five underground trades on one schedule. What it has not yet done is make that capability visible where buyers now look, surface the right bids early, and use AI — safely — to bid more with the team it has. And it is doing this at the exact moment the market is rebalancing toward the grid and public-infrastructure work the firm does best.</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and low-risk: own the answer-engine, the single-source story, and the tri-state lane no competitor has claimed; surface the booming grid and public work early; and build AI estimating and knowledge inside the boundary that protects a fixed-price, safety-critical contractor. The boundary that governs the work — AI assists, the licensed estimator or project manager signs — is not a limitation on the strategy. It is the strategy’s moat.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 bid volume, win rate, average job size by channel, and estimating capacity — to replace the illustrative figures with real baselines and confirm program scope.</w:t>
            </w:r>
          </w:p>
          <w:p>
            <w:pPr>
              <w:keepNext/>
              <w:keepLines/>
              <w:spacing w:after="60" w:before="40" w:line="300"/>
            </w:pPr>
            <w:r>
              <w:rPr>
                <w:rFonts w:ascii="Open Sans" w:cs="Open Sans" w:eastAsia="Open Sans" w:hAnsi="Open Sans"/>
                <w:color w:val="59595B"/>
                <w:sz w:val="20"/>
                <w:szCs w:val="20"/>
              </w:rPr>
              <w:t xml:space="preserve">Step 2: Technijian returns a calibrated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answer-engine foundation, the single-source story, and the proof scoreboard — inside 30 days.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8"/>
                <w:szCs w:val="28"/>
              </w:rPr>
              <w:t xml:space="preserve">You’ve built the contractor. Let’s build the growth engine.</w:t>
            </w:r>
          </w:p>
          <w:p>
            <w:pPr>
              <w:spacing w:after="80"/>
              <w:jc w:val="center"/>
            </w:pPr>
            <w:r>
              <w:rPr>
                <w:rFonts w:ascii="Open Sans" w:cs="Open Sans" w:eastAsia="Open Sans" w:hAnsi="Open Sans"/>
                <w:color w:val="FFFFFF"/>
                <w:sz w:val="22"/>
                <w:szCs w:val="22"/>
              </w:rPr>
              <w:t xml:space="preserve">Contact Ravi Jain, Technijian  |  RJain@technijian.com  |  949.379.8499</w:t>
            </w:r>
          </w:p>
          <w:p>
            <w:pPr>
              <w:jc w:val="center"/>
            </w:pPr>
            <w:r>
              <w:rPr>
                <w:rFonts w:ascii="Open Sans" w:cs="Open Sans" w:eastAsia="Open Sans" w:hAnsi="Open Sans"/>
                <w:color w:val="FFFFFF"/>
                <w:sz w:val="20"/>
                <w:szCs w:val="20"/>
              </w:rPr>
              <w:t xml:space="preserve">technijian.com  |  Irvine, CA</w:t>
            </w:r>
          </w:p>
        </w:tc>
      </w:tr>
    </w:tbl>
    <w:p>
      <w:pPr>
        <w:pStyle w:val="Heading1"/>
        <w:keepNext/>
        <w:pageBreakBefore/>
        <w:spacing w:after="120" w:before="0" w:line="240"/>
      </w:pPr>
      <w:r>
        <w:rPr>
          <w:rFonts w:ascii="Open Sans" w:cs="Open Sans" w:eastAsia="Open Sans" w:hAnsi="Open Sans"/>
          <w:color w:val="FFFFFF"/>
          <w:sz w:val="2"/>
          <w:szCs w:val="2"/>
        </w:rPr>
        <w:t xml:space="preserve">20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20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firms compete at scale, with security and compliance built in, not bolted on — and we map real, delivered capabilities to each client’s actual work, honestly labeled.</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Pacific Utility</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optimization, the single-source story, the undergrounding authority lane, and the tri-state project-proof scoreboard</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 permit, and account intelligence — surfacing the right developers, agencies, and utility programs early</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&amp; My AI</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estimating and takeoff, bid and RFP assembly, prequal/compliance automation, and the institutional-knowledge system</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IT + Security</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managed IT, endpoint defense, and Microsoft 365 hardening that secure the AI estimating and knowledge platform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949.379.8499</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pageBreakBefore/>
        <w:spacing w:after="120" w:before="0" w:line="240"/>
      </w:pPr>
      <w:r>
        <w:rPr>
          <w:rFonts w:ascii="Open Sans" w:cs="Open Sans" w:eastAsia="Open Sans" w:hAnsi="Open Sans"/>
          <w:color w:val="FFFFFF"/>
          <w:sz w:val="2"/>
          <w:szCs w:val="2"/>
        </w:rPr>
        <w:t xml:space="preserve">A  Appendix — Works Cited &amp; Data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Works Cited &amp; Data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company intelligence gathered via public web research conducted June 2026. Company details (founding year, ownership, leadership, services, offices, licenses, and affiliations) are drawn from public sources and the firm’s own materials and should be confirmed with Pacific Utility before external use. Size figures circulating from data brokers conflict and are deliberately not relied on in this draft.</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Pacific Utility Installation — pacificutility.com (About, Utility Engineering, Wet Utility, Dry Utility, High Voltage, Streetlights &amp; Traffic Signals, Projects, News); 2020 press releases (distribution-services leadership hire, NV/AZ expansion, wet-utility launch); LinkedIn (pacific-utility-installation). Daniel Mole (Chairman &amp; CEO, co-founder) and Bill Pfeifer (co-founder) per the firm’s materials.</w:t>
      </w:r>
    </w:p>
    <w:p>
      <w:pPr>
        <w:spacing w:after="140" w:before="0" w:line="320"/>
        <w:jc w:val="both"/>
      </w:pPr>
      <w:r>
        <w:rPr>
          <w:rFonts w:ascii="Open Sans" w:cs="Open Sans" w:eastAsia="Open Sans" w:hAnsi="Open Sans"/>
          <w:b w:val="false"/>
          <w:bCs w:val="false"/>
          <w:i w:val="false"/>
          <w:iCs w:val="false"/>
          <w:color w:val="59595B"/>
          <w:sz w:val="20"/>
          <w:szCs w:val="20"/>
        </w:rPr>
        <w:t xml:space="preserve">2. Licenses &amp; affiliations — CA CSLB 733207 (A, B, C-10); NV 0090319 (C-2), 0085785 (A); AZ ROC 343337 (A), 343338 (CR-11); AGC, BIASC, SNHBA memberships per the firm’s materials. Note: not to be confused with "Pacific Utility Construction" (Woodland/Anaheim), a separate company.</w:t>
      </w:r>
    </w:p>
    <w:p>
      <w:pPr>
        <w:spacing w:after="140" w:before="0" w:line="320"/>
        <w:jc w:val="both"/>
      </w:pPr>
      <w:r>
        <w:rPr>
          <w:rFonts w:ascii="Open Sans" w:cs="Open Sans" w:eastAsia="Open Sans" w:hAnsi="Open Sans"/>
          <w:b w:val="false"/>
          <w:bCs w:val="false"/>
          <w:i w:val="false"/>
          <w:iCs w:val="false"/>
          <w:color w:val="59595B"/>
          <w:sz w:val="20"/>
          <w:szCs w:val="20"/>
        </w:rPr>
        <w:t xml:space="preserve">3. Utility capital &amp; grid boom — EEI, Morningstar, and EIA (utility capex 2025–2030, transmission build, underground-line and transformer spending); IIJA grid modernization, DOE GRIP/grid-hardening, NEVI EV charging, and BEAD broadband program summaries (B&amp;D Law, NETL, CRS).</w:t>
      </w:r>
    </w:p>
    <w:p>
      <w:pPr>
        <w:spacing w:after="140" w:before="0" w:line="320"/>
        <w:jc w:val="both"/>
      </w:pPr>
      <w:r>
        <w:rPr>
          <w:rFonts w:ascii="Open Sans" w:cs="Open Sans" w:eastAsia="Open Sans" w:hAnsi="Open Sans"/>
          <w:b w:val="false"/>
          <w:bCs w:val="false"/>
          <w:i w:val="false"/>
          <w:iCs w:val="false"/>
          <w:color w:val="59595B"/>
          <w:sz w:val="20"/>
          <w:szCs w:val="20"/>
        </w:rPr>
        <w:t xml:space="preserve">4. Undergrounding &amp; streets — CPUC Rule 20 program materials and counsel summaries (legacy 20A vs. utility wildfire-mitigation undergrounding); California SB 1 and Caltrans transportation funding for streets and signals.</w:t>
      </w:r>
    </w:p>
    <w:p>
      <w:pPr>
        <w:spacing w:after="140" w:before="0" w:line="320"/>
        <w:jc w:val="both"/>
      </w:pPr>
      <w:r>
        <w:rPr>
          <w:rFonts w:ascii="Open Sans" w:cs="Open Sans" w:eastAsia="Open Sans" w:hAnsi="Open Sans"/>
          <w:b w:val="false"/>
          <w:bCs w:val="false"/>
          <w:i w:val="false"/>
          <w:iCs w:val="false"/>
          <w:color w:val="59595B"/>
          <w:sz w:val="20"/>
          <w:szCs w:val="20"/>
        </w:rPr>
        <w:t xml:space="preserve">5. Residential market — 2026 homebuilding outlooks for Southern California, Las Vegas, and Phoenix (starts, deliveries, and net-sales data from regional builder and market reports).</w:t>
      </w:r>
    </w:p>
    <w:p>
      <w:pPr>
        <w:spacing w:after="140" w:before="0" w:line="320"/>
        <w:jc w:val="both"/>
      </w:pPr>
      <w:r>
        <w:rPr>
          <w:rFonts w:ascii="Open Sans" w:cs="Open Sans" w:eastAsia="Open Sans" w:hAnsi="Open Sans"/>
          <w:b w:val="false"/>
          <w:bCs w:val="false"/>
          <w:i w:val="false"/>
          <w:iCs w:val="false"/>
          <w:color w:val="59595B"/>
          <w:sz w:val="20"/>
          <w:szCs w:val="20"/>
        </w:rPr>
        <w:t xml:space="preserve">6. Labor shortage — Associated Builders and Contractors (net new-worker estimates); ECMag / BLS and AGC (electrician supply, retirements, and workforce projections).</w:t>
      </w:r>
    </w:p>
    <w:p>
      <w:pPr>
        <w:spacing w:after="140" w:before="0" w:line="320"/>
        <w:jc w:val="both"/>
      </w:pPr>
      <w:r>
        <w:rPr>
          <w:rFonts w:ascii="Open Sans" w:cs="Open Sans" w:eastAsia="Open Sans" w:hAnsi="Open Sans"/>
          <w:b w:val="false"/>
          <w:bCs w:val="false"/>
          <w:i w:val="false"/>
          <w:iCs w:val="false"/>
          <w:color w:val="59595B"/>
          <w:sz w:val="20"/>
          <w:szCs w:val="20"/>
        </w:rPr>
        <w:t xml:space="preserve">7. AI in construction &amp; bidding — AGC 2026 Construction Outlook (AI adoption and estimating); Autodesk BuildingConnected, ConstructConnect, and project-intelligence platforms (Mercator.ai, Dodge); estimating-accuracy and preconstruction data (Procore); professional-liability considerations on AI-generated estimates.</w:t>
      </w:r>
    </w:p>
    <w:p>
      <w:pPr>
        <w:spacing w:after="140" w:before="0" w:line="320"/>
        <w:jc w:val="both"/>
      </w:pPr>
      <w:r>
        <w:rPr>
          <w:rFonts w:ascii="Open Sans" w:cs="Open Sans" w:eastAsia="Open Sans" w:hAnsi="Open Sans"/>
          <w:b w:val="false"/>
          <w:bCs w:val="false"/>
          <w:i w:val="false"/>
          <w:iCs w:val="false"/>
          <w:color w:val="59595B"/>
          <w:sz w:val="20"/>
          <w:szCs w:val="20"/>
        </w:rPr>
        <w:t xml:space="preserve">8. Technijian capabilities &amp; pricing — My SEO published tiers ($500–$1,500/mo plus add-ons), My AI Lead Gen ($1,499 Starter + $2,500 setup); My AI and My Dev scoped per engagement; documented Proven Results (AI Document Intelligence inside a FINRA broker-dealer; Multi-Agent SEO + Answer-Engine Platform; Weaviate/Obsidian knowledge system; LLM Council three-model peer review).</w:t>
      </w:r>
    </w:p>
    <w:p>
      <w:pPr>
        <w:spacing w:after="140" w:before="0" w:line="320"/>
        <w:jc w:val="both"/>
      </w:pPr>
      <w:r>
        <w:rPr>
          <w:rFonts w:ascii="Open Sans" w:cs="Open Sans" w:eastAsia="Open Sans" w:hAnsi="Open Sans"/>
          <w:b w:val="false"/>
          <w:bCs w:val="false"/>
          <w:i w:val="false"/>
          <w:iCs w:val="false"/>
          <w:color w:val="59595B"/>
          <w:sz w:val="20"/>
          <w:szCs w:val="20"/>
        </w:rPr>
        <w:t xml:space="preserve">9. AI literacy &amp; responsible-AI frameworks (Section 12) — MIT Sloan Management Review (AI literacy: "what AI can do," not how to build it); Anthropic, "Building Effective Agents" (the automation/workflow vs. agent distinction); a widely-used five-stage AI maturity model (consistent with the Gartner AI Maturity Model and Google Cloud AI Adoption Framework); U.S. NIST AI Risk Management Framework (Govern / Map / Measure / Manage).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6002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333375"/>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&amp; Integration Strategy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313d7dda0c0a2130584c8a04cdca80f56fea7415.png"/><Relationship Id="rId11" Type="http://schemas.openxmlformats.org/officeDocument/2006/relationships/image" Target="media/4ecda613c1e9437e549c5f575491891e3540aba5.png"/><Relationship Id="rId12" Type="http://schemas.openxmlformats.org/officeDocument/2006/relationships/image" Target="media/e1e41380f94b62fd5fd009275587aa6988303d12.png"/><Relationship Id="rId13" Type="http://schemas.openxmlformats.org/officeDocument/2006/relationships/image" Target="media/724d08b4681ed3147d93de1e757b3e2e2a074494.png"/><Relationship Id="rId14" Type="http://schemas.openxmlformats.org/officeDocument/2006/relationships/image" Target="media/842f6584753f224348dff00d7332c8a7feff75d6.png"/><Relationship Id="rId15" Type="http://schemas.openxmlformats.org/officeDocument/2006/relationships/image" Target="media/381e2904ca5ae0ea30b6597c8929b9b174fcf8d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2026-06-11T04:57:48.538Z</dcterms:created>
  <dcterms:modified xsi:type="dcterms:W3CDTF">2026-06-11T04:57:48.541Z</dcterms:modified>
</cp:coreProperties>
</file>

<file path=docProps/custom.xml><?xml version="1.0" encoding="utf-8"?>
<Properties xmlns="http://schemas.openxmlformats.org/officeDocument/2006/custom-properties" xmlns:vt="http://schemas.openxmlformats.org/officeDocument/2006/docPropsVTypes"/>
</file>