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c>
          <w:tcPr>
            <w:tcW w:type="dxa" w:w="9648"/>
            <w:shd w:val="clear" w:color="auto" w:fill="006DB6"/>
          </w:tcPr>
          <w:p>
            <w:pPr>
              <w:spacing w:after="0" w:before="0"/>
            </w:pPr>
            <w:r>
              <w:rPr>
                <w:sz w:val="28"/>
              </w:rPr>
            </w:r>
            <w:r>
              <w:rPr>
                <w:sz w:val="28"/>
              </w:rPr>
              <w:t xml:space="preserve"> </w:t>
            </w:r>
          </w:p>
        </w:tc>
      </w:tr>
    </w:tbl>
    <w:p>
      <w:pPr>
        <w:spacing w:after="40"/>
      </w:pPr>
    </w:p>
    <w:p>
      <w:pPr>
        <w:spacing w:before="360" w:after="120"/>
        <w:jc w:val="left"/>
      </w:pPr>
      <w:r>
        <w:drawing>
          <wp:inline xmlns:a="http://schemas.openxmlformats.org/drawingml/2006/main" xmlns:pic="http://schemas.openxmlformats.org/drawingml/2006/picture">
            <wp:extent cx="2468880" cy="516662"/>
            <wp:docPr id="1" name="Picture 1"/>
            <wp:cNvGraphicFramePr>
              <a:graphicFrameLocks noChangeAspect="1"/>
            </wp:cNvGraphicFramePr>
            <a:graphic>
              <a:graphicData uri="http://schemas.openxmlformats.org/drawingml/2006/picture">
                <pic:pic>
                  <pic:nvPicPr>
                    <pic:cNvPr id="0" name="Technijian Logo 2.png"/>
                    <pic:cNvPicPr/>
                  </pic:nvPicPr>
                  <pic:blipFill>
                    <a:blip r:embed="rId11"/>
                    <a:stretch>
                      <a:fillRect/>
                    </a:stretch>
                  </pic:blipFill>
                  <pic:spPr>
                    <a:xfrm>
                      <a:off x="0" y="0"/>
                      <a:ext cx="2468880" cy="516662"/>
                    </a:xfrm>
                    <a:prstGeom prst="rect"/>
                  </pic:spPr>
                </pic:pic>
              </a:graphicData>
            </a:graphic>
          </wp:inline>
        </w:drawing>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c>
          <w:tcPr>
            <w:tcW w:type="dxa" w:w="9648"/>
            <w:shd w:val="clear" w:color="auto" w:fill="F67D4B"/>
          </w:tcPr>
          <w:p>
            <w:pPr>
              <w:spacing w:after="0" w:before="0"/>
            </w:pPr>
            <w:r>
              <w:rPr>
                <w:sz w:val="8"/>
              </w:rPr>
            </w:r>
            <w:r>
              <w:rPr>
                <w:sz w:val="8"/>
              </w:rPr>
              <w:t xml:space="preserve"> </w:t>
            </w:r>
          </w:p>
        </w:tc>
      </w:tr>
    </w:tbl>
    <w:p>
      <w:pPr>
        <w:spacing w:after="200"/>
      </w:pPr>
    </w:p>
    <w:p>
      <w:pPr>
        <w:spacing w:before="800" w:after="40"/>
      </w:pPr>
      <w:r>
        <w:rPr>
          <w:rFonts w:ascii="Arial" w:hAnsi="Arial"/>
          <w:b/>
          <w:i w:val="0"/>
          <w:color w:val="1A1A2E"/>
          <w:sz w:val="80"/>
        </w:rPr>
        <w:t>SC FUELS</w:t>
      </w:r>
    </w:p>
    <w:p>
      <w:pPr>
        <w:spacing w:after="40"/>
      </w:pPr>
      <w:r>
        <w:rPr>
          <w:rFonts w:ascii="Arial" w:hAnsi="Arial"/>
          <w:b/>
          <w:i w:val="0"/>
          <w:color w:val="006DB6"/>
          <w:sz w:val="40"/>
        </w:rPr>
        <w:t>Strategic Digital, SEO &amp; AI Growth Report</w:t>
      </w:r>
    </w:p>
    <w:p>
      <w:pPr>
        <w:spacing w:after="320"/>
      </w:pPr>
      <w:r>
        <w:rPr>
          <w:rFonts w:ascii="Arial" w:hAnsi="Arial"/>
          <w:b w:val="0"/>
          <w:i/>
          <w:color w:val="59595B"/>
          <w:sz w:val="25"/>
        </w:rPr>
        <w:t>How an AI-Driven Growth Engine Helps SC Fuels Add Business — Without Adding Headcount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c>
          <w:tcPr>
            <w:tcW w:type="dxa" w:w="3600"/>
            <w:shd w:val="clear" w:color="auto" w:fill="F67D4B"/>
            <w:tcMar>
              <w:top w:w="50" w:type="dxa"/>
              <w:bottom w:w="50" w:type="dxa"/>
              <w:left w:w="120" w:type="dxa"/>
              <w:right w:w="120" w:type="dxa"/>
            </w:tcMar>
          </w:tcPr>
          <w:p>
            <w:r/>
            <w:r>
              <w:rPr>
                <w:rFonts w:ascii="Arial" w:hAnsi="Arial"/>
                <w:b/>
                <w:i w:val="0"/>
                <w:color w:val="FFFFFF"/>
                <w:sz w:val="22"/>
              </w:rPr>
              <w:t>REVISION 2</w:t>
            </w:r>
          </w:p>
        </w:tc>
      </w:tr>
    </w:tbl>
    <w:p>
      <w:pPr>
        <w:spacing w:after="5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4"/>
        <w:gridCol w:w="4824"/>
      </w:tblGrid>
      <w:tr>
        <w:tc>
          <w:tcPr>
            <w:tcW w:type="dxa" w:w="2160"/>
            <w:vAlign w:val="center"/>
            <w:tcMar>
              <w:top w:w="40" w:type="dxa"/>
              <w:bottom w:w="40" w:type="dxa"/>
              <w:left w:w="90" w:type="dxa"/>
              <w:right w:w="90" w:type="dxa"/>
            </w:tcMar>
          </w:tcPr>
          <w:p>
            <w:pPr>
              <w:spacing w:after="20" w:before="20" w:line="259" w:lineRule="auto"/>
            </w:pPr>
            <w:r/>
            <w:r>
              <w:rPr>
                <w:rFonts w:ascii="Arial" w:hAnsi="Arial"/>
                <w:b/>
                <w:i w:val="0"/>
                <w:color w:val="006DB6"/>
                <w:sz w:val="19"/>
              </w:rPr>
              <w:t>Prepared for</w:t>
            </w:r>
          </w:p>
        </w:tc>
        <w:tc>
          <w:tcPr>
            <w:tcW w:type="dxa" w:w="7488"/>
            <w:vAlign w:val="center"/>
            <w:tcMar>
              <w:top w:w="40" w:type="dxa"/>
              <w:bottom w:w="40" w:type="dxa"/>
              <w:left w:w="90" w:type="dxa"/>
              <w:right w:w="90" w:type="dxa"/>
            </w:tcMar>
          </w:tcPr>
          <w:p>
            <w:pPr>
              <w:spacing w:after="20" w:before="20" w:line="259" w:lineRule="auto"/>
            </w:pPr>
            <w:r/>
            <w:r>
              <w:rPr>
                <w:rFonts w:ascii="Arial" w:hAnsi="Arial"/>
                <w:b w:val="0"/>
                <w:i w:val="0"/>
                <w:color w:val="2D2D2D"/>
                <w:sz w:val="19"/>
              </w:rPr>
              <w:t>SC Fuels (Southern Counties Oil Co., L.P.)  ·  scfuels.com</w:t>
            </w:r>
          </w:p>
        </w:tc>
      </w:tr>
      <w:tr>
        <w:tc>
          <w:tcPr>
            <w:tcW w:type="dxa" w:w="2160"/>
            <w:vAlign w:val="center"/>
            <w:tcMar>
              <w:top w:w="40" w:type="dxa"/>
              <w:bottom w:w="40" w:type="dxa"/>
              <w:left w:w="90" w:type="dxa"/>
              <w:right w:w="90" w:type="dxa"/>
            </w:tcMar>
          </w:tcPr>
          <w:p>
            <w:pPr>
              <w:spacing w:after="20" w:before="20" w:line="259" w:lineRule="auto"/>
            </w:pPr>
            <w:r/>
            <w:r>
              <w:rPr>
                <w:rFonts w:ascii="Arial" w:hAnsi="Arial"/>
                <w:b/>
                <w:i w:val="0"/>
                <w:color w:val="006DB6"/>
                <w:sz w:val="19"/>
              </w:rPr>
              <w:t>Attention</w:t>
            </w:r>
          </w:p>
        </w:tc>
        <w:tc>
          <w:tcPr>
            <w:tcW w:type="dxa" w:w="7488"/>
            <w:vAlign w:val="center"/>
            <w:tcMar>
              <w:top w:w="40" w:type="dxa"/>
              <w:bottom w:w="40" w:type="dxa"/>
              <w:left w:w="90" w:type="dxa"/>
              <w:right w:w="90" w:type="dxa"/>
            </w:tcMar>
          </w:tcPr>
          <w:p>
            <w:pPr>
              <w:spacing w:after="20" w:before="20" w:line="259" w:lineRule="auto"/>
            </w:pPr>
            <w:r/>
            <w:r>
              <w:rPr>
                <w:rFonts w:ascii="Arial" w:hAnsi="Arial"/>
                <w:b w:val="0"/>
                <w:i w:val="0"/>
                <w:color w:val="2D2D2D"/>
                <w:sz w:val="19"/>
              </w:rPr>
              <w:t>Derek Bettencourt  ·  and the SC Fuels leadership &amp; sales/marketing team</w:t>
            </w:r>
          </w:p>
        </w:tc>
      </w:tr>
      <w:tr>
        <w:tc>
          <w:tcPr>
            <w:tcW w:type="dxa" w:w="2160"/>
            <w:vAlign w:val="center"/>
            <w:tcMar>
              <w:top w:w="40" w:type="dxa"/>
              <w:bottom w:w="40" w:type="dxa"/>
              <w:left w:w="90" w:type="dxa"/>
              <w:right w:w="90" w:type="dxa"/>
            </w:tcMar>
          </w:tcPr>
          <w:p>
            <w:pPr>
              <w:spacing w:after="20" w:before="20" w:line="259" w:lineRule="auto"/>
            </w:pPr>
            <w:r/>
            <w:r>
              <w:rPr>
                <w:rFonts w:ascii="Arial" w:hAnsi="Arial"/>
                <w:b/>
                <w:i w:val="0"/>
                <w:color w:val="006DB6"/>
                <w:sz w:val="19"/>
              </w:rPr>
              <w:t>Prepared by</w:t>
            </w:r>
          </w:p>
        </w:tc>
        <w:tc>
          <w:tcPr>
            <w:tcW w:type="dxa" w:w="7488"/>
            <w:vAlign w:val="center"/>
            <w:tcMar>
              <w:top w:w="40" w:type="dxa"/>
              <w:bottom w:w="40" w:type="dxa"/>
              <w:left w:w="90" w:type="dxa"/>
              <w:right w:w="90" w:type="dxa"/>
            </w:tcMar>
          </w:tcPr>
          <w:p>
            <w:pPr>
              <w:spacing w:after="20" w:before="20" w:line="259" w:lineRule="auto"/>
            </w:pPr>
            <w:r/>
            <w:r>
              <w:rPr>
                <w:rFonts w:ascii="Arial" w:hAnsi="Arial"/>
                <w:b w:val="0"/>
                <w:i w:val="0"/>
                <w:color w:val="2D2D2D"/>
                <w:sz w:val="19"/>
              </w:rPr>
              <w:t>Technijian Technology Solutions  ·  Ravi Jain, Founder &amp; CEO</w:t>
            </w:r>
          </w:p>
        </w:tc>
      </w:tr>
      <w:tr>
        <w:tc>
          <w:tcPr>
            <w:tcW w:type="dxa" w:w="2160"/>
            <w:vAlign w:val="center"/>
            <w:tcMar>
              <w:top w:w="40" w:type="dxa"/>
              <w:bottom w:w="40" w:type="dxa"/>
              <w:left w:w="90" w:type="dxa"/>
              <w:right w:w="90" w:type="dxa"/>
            </w:tcMar>
          </w:tcPr>
          <w:p>
            <w:pPr>
              <w:spacing w:after="20" w:before="20" w:line="259" w:lineRule="auto"/>
            </w:pPr>
            <w:r/>
            <w:r>
              <w:rPr>
                <w:rFonts w:ascii="Arial" w:hAnsi="Arial"/>
                <w:b/>
                <w:i w:val="0"/>
                <w:color w:val="006DB6"/>
                <w:sz w:val="19"/>
              </w:rPr>
              <w:t>Date</w:t>
            </w:r>
          </w:p>
        </w:tc>
        <w:tc>
          <w:tcPr>
            <w:tcW w:type="dxa" w:w="7488"/>
            <w:vAlign w:val="center"/>
            <w:tcMar>
              <w:top w:w="40" w:type="dxa"/>
              <w:bottom w:w="40" w:type="dxa"/>
              <w:left w:w="90" w:type="dxa"/>
              <w:right w:w="90" w:type="dxa"/>
            </w:tcMar>
          </w:tcPr>
          <w:p>
            <w:pPr>
              <w:spacing w:after="20" w:before="20" w:line="259" w:lineRule="auto"/>
            </w:pPr>
            <w:r/>
            <w:r>
              <w:rPr>
                <w:rFonts w:ascii="Arial" w:hAnsi="Arial"/>
                <w:b w:val="0"/>
                <w:i w:val="0"/>
                <w:color w:val="2D2D2D"/>
                <w:sz w:val="19"/>
              </w:rPr>
              <w:t>June 2026</w:t>
            </w:r>
          </w:p>
        </w:tc>
      </w:tr>
      <w:tr>
        <w:tc>
          <w:tcPr>
            <w:tcW w:type="dxa" w:w="2160"/>
            <w:vAlign w:val="center"/>
            <w:tcMar>
              <w:top w:w="40" w:type="dxa"/>
              <w:bottom w:w="40" w:type="dxa"/>
              <w:left w:w="90" w:type="dxa"/>
              <w:right w:w="90" w:type="dxa"/>
            </w:tcMar>
          </w:tcPr>
          <w:p>
            <w:pPr>
              <w:spacing w:after="20" w:before="20" w:line="259" w:lineRule="auto"/>
            </w:pPr>
            <w:r/>
            <w:r>
              <w:rPr>
                <w:rFonts w:ascii="Arial" w:hAnsi="Arial"/>
                <w:b/>
                <w:i w:val="0"/>
                <w:color w:val="006DB6"/>
                <w:sz w:val="19"/>
              </w:rPr>
              <w:t>Context</w:t>
            </w:r>
          </w:p>
        </w:tc>
        <w:tc>
          <w:tcPr>
            <w:tcW w:type="dxa" w:w="7488"/>
            <w:vAlign w:val="center"/>
            <w:tcMar>
              <w:top w:w="40" w:type="dxa"/>
              <w:bottom w:w="40" w:type="dxa"/>
              <w:left w:w="90" w:type="dxa"/>
              <w:right w:w="90" w:type="dxa"/>
            </w:tcMar>
          </w:tcPr>
          <w:p>
            <w:pPr>
              <w:spacing w:after="20" w:before="20" w:line="259" w:lineRule="auto"/>
            </w:pPr>
            <w:r/>
            <w:r>
              <w:rPr>
                <w:rFonts w:ascii="Arial" w:hAnsi="Arial"/>
                <w:b w:val="0"/>
                <w:i w:val="0"/>
                <w:color w:val="2D2D2D"/>
                <w:sz w:val="19"/>
              </w:rPr>
              <w:t>Follow-up to the June 2, 2026 strategy session</w:t>
            </w:r>
          </w:p>
        </w:tc>
      </w:tr>
      <w:tr>
        <w:tc>
          <w:tcPr>
            <w:tcW w:type="dxa" w:w="2160"/>
            <w:vAlign w:val="center"/>
            <w:tcMar>
              <w:top w:w="40" w:type="dxa"/>
              <w:bottom w:w="40" w:type="dxa"/>
              <w:left w:w="90" w:type="dxa"/>
              <w:right w:w="90" w:type="dxa"/>
            </w:tcMar>
          </w:tcPr>
          <w:p>
            <w:pPr>
              <w:spacing w:after="20" w:before="20" w:line="259" w:lineRule="auto"/>
            </w:pPr>
            <w:r/>
            <w:r>
              <w:rPr>
                <w:rFonts w:ascii="Arial" w:hAnsi="Arial"/>
                <w:b/>
                <w:i w:val="0"/>
                <w:color w:val="006DB6"/>
                <w:sz w:val="19"/>
              </w:rPr>
              <w:t>Sources</w:t>
            </w:r>
          </w:p>
        </w:tc>
        <w:tc>
          <w:tcPr>
            <w:tcW w:type="dxa" w:w="7488"/>
            <w:vAlign w:val="center"/>
            <w:tcMar>
              <w:top w:w="40" w:type="dxa"/>
              <w:bottom w:w="40" w:type="dxa"/>
              <w:left w:w="90" w:type="dxa"/>
              <w:right w:w="90" w:type="dxa"/>
            </w:tcMar>
          </w:tcPr>
          <w:p>
            <w:pPr>
              <w:spacing w:after="20" w:before="20" w:line="259" w:lineRule="auto"/>
            </w:pPr>
            <w:r/>
            <w:r>
              <w:rPr>
                <w:rFonts w:ascii="Arial" w:hAnsi="Arial"/>
                <w:b w:val="0"/>
                <w:i w:val="0"/>
                <w:color w:val="2D2D2D"/>
                <w:sz w:val="19"/>
              </w:rPr>
              <w:t>Semrush Domain Overview  ·  The HOTH SEO Audit  ·  June 2, 2026 session notes</w:t>
            </w:r>
          </w:p>
        </w:tc>
      </w:tr>
    </w:tbl>
    <w:p>
      <w:pPr>
        <w:spacing w:after="80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c>
          <w:tcPr>
            <w:tcW w:type="dxa" w:w="9648"/>
            <w:shd w:val="clear" w:color="auto" w:fill="F67D4B"/>
          </w:tcPr>
          <w:p>
            <w:pPr>
              <w:spacing w:after="0" w:before="0"/>
            </w:pPr>
            <w:r>
              <w:rPr>
                <w:sz w:val="8"/>
              </w:rPr>
            </w:r>
            <w:r>
              <w:rPr>
                <w:sz w:val="8"/>
              </w:rPr>
              <w:t xml:space="preserve"> </w:t>
            </w:r>
          </w:p>
        </w:tc>
      </w:tr>
    </w:tbl>
    <w:p>
      <w:pPr>
        <w:spacing w:after="40"/>
      </w:pPr>
    </w:p>
    <w:p>
      <w:r>
        <w:rPr>
          <w:rFonts w:ascii="Arial" w:hAnsi="Arial"/>
          <w:b w:val="0"/>
          <w:i/>
          <w:color w:val="59595B"/>
          <w:sz w:val="17"/>
        </w:rPr>
        <w:t>CONFIDENTIAL — Prepared exclusively for SC Fuels leadership. Not for external distribution.</w:t>
      </w:r>
    </w:p>
    <w:p>
      <w:r>
        <w:br w:type="page"/>
      </w:r>
    </w:p>
    <w:p>
      <w:pPr>
        <w:pBdr>
          <w:bottom w:val="single" w:sz="12" w:space="3" w:color="F67D4B"/>
        </w:pBdr>
      </w:pPr>
      <w:r>
        <w:rPr>
          <w:rFonts w:ascii="Arial" w:hAnsi="Arial"/>
          <w:b/>
          <w:i w:val="0"/>
          <w:color w:val="006DB6"/>
          <w:sz w:val="32"/>
        </w:rPr>
        <w:t>Contents</w:t>
      </w:r>
    </w:p>
    <w:p>
      <w:r>
        <w:fldChar w:fldCharType="begin"/>
        <w:instrText xml:space="preserve"> TOC \o "1-2" \h \z \u </w:instrText>
        <w:fldChar w:fldCharType="separate"/>
      </w:r>
      <w:r>
        <w:t>Right-click and choose “Update Field” to build the table of contents.</w:t>
      </w:r>
      <w:r>
        <w:fldChar w:fldCharType="end"/>
      </w:r>
    </w:p>
    <w:p>
      <w:pPr>
        <w:pStyle w:val="Heading1"/>
        <w:pageBreakBefore/>
        <w:spacing w:before="0"/>
        <w:pBdr>
          <w:bottom w:val="single" w:sz="12" w:space="3" w:color="F67D4B"/>
        </w:pBdr>
      </w:pPr>
      <w:r>
        <w:rPr>
          <w:rFonts w:ascii="Arial" w:hAnsi="Arial"/>
          <w:b/>
          <w:i w:val="0"/>
          <w:color w:val="006DB6"/>
          <w:sz w:val="30"/>
        </w:rPr>
        <w:t>Digital &amp; AI Readiness Scorecard</w:t>
      </w:r>
    </w:p>
    <w:p>
      <w:pPr>
        <w:spacing w:after="120"/>
      </w:pPr>
      <w:r>
        <w:rPr>
          <w:rFonts w:ascii="Arial" w:hAnsi="Arial"/>
          <w:b w:val="0"/>
          <w:i w:val="0"/>
          <w:color w:val="2D2D2D"/>
          <w:sz w:val="21"/>
        </w:rPr>
        <w:t>This revision keeps the full June 2026 technical audit (the section your team reviewed) and adds the AI growth plan we discussed on June 2 — inbound visibility, outbound lead generation, and internal AI that lets each salesperson cover far more ground. Grades below are unchanged from the audit; the AI-readiness rows are new.</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2969"/>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Category</w:t>
            </w:r>
          </w:p>
        </w:tc>
        <w:tc>
          <w:tcPr>
            <w:tcW w:type="dxa" w:w="891"/>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Grade</w:t>
            </w:r>
          </w:p>
        </w:tc>
        <w:tc>
          <w:tcPr>
            <w:tcW w:type="dxa" w:w="5789"/>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Status Summary</w:t>
            </w:r>
          </w:p>
        </w:tc>
      </w:tr>
      <w:tr>
        <w:trPr>
          <w:cantSplit w:val="true"/>
        </w:trPr>
        <w:tc>
          <w:tcPr>
            <w:tcW w:type="dxa" w:w="2969"/>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Overall SEO Health</w:t>
            </w:r>
          </w:p>
        </w:tc>
        <w:tc>
          <w:tcPr>
            <w:tcW w:type="dxa" w:w="89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B+</w:t>
            </w:r>
          </w:p>
        </w:tc>
        <w:tc>
          <w:tcPr>
            <w:tcW w:type="dxa" w:w="5789"/>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Strong foundation — targeted gaps identified</w:t>
            </w:r>
          </w:p>
        </w:tc>
      </w:tr>
      <w:tr>
        <w:trPr>
          <w:cantSplit w:val="true"/>
        </w:trPr>
        <w:tc>
          <w:tcPr>
            <w:tcW w:type="dxa" w:w="2969"/>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On-Page SEO</w:t>
            </w:r>
          </w:p>
        </w:tc>
        <w:tc>
          <w:tcPr>
            <w:tcW w:type="dxa" w:w="891"/>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9"/>
              </w:rPr>
              <w:t>A</w:t>
            </w:r>
          </w:p>
        </w:tc>
        <w:tc>
          <w:tcPr>
            <w:tcW w:type="dxa" w:w="5789"/>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Well-optimized title, meta, schema, SSL</w:t>
            </w:r>
          </w:p>
        </w:tc>
      </w:tr>
      <w:tr>
        <w:trPr>
          <w:cantSplit w:val="true"/>
        </w:trPr>
        <w:tc>
          <w:tcPr>
            <w:tcW w:type="dxa" w:w="2969"/>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Generative Engine Optimization (GEO)</w:t>
            </w:r>
          </w:p>
        </w:tc>
        <w:tc>
          <w:tcPr>
            <w:tcW w:type="dxa" w:w="891"/>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9"/>
              </w:rPr>
              <w:t>F</w:t>
            </w:r>
          </w:p>
        </w:tc>
        <w:tc>
          <w:tcPr>
            <w:tcW w:type="dxa" w:w="5789"/>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CRITICAL — largely invisible to AI search engines</w:t>
            </w:r>
          </w:p>
        </w:tc>
      </w:tr>
      <w:tr>
        <w:trPr>
          <w:cantSplit w:val="true"/>
        </w:trPr>
        <w:tc>
          <w:tcPr>
            <w:tcW w:type="dxa" w:w="2969"/>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Usability / Mobile</w:t>
            </w:r>
          </w:p>
        </w:tc>
        <w:tc>
          <w:tcPr>
            <w:tcW w:type="dxa" w:w="891"/>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9"/>
              </w:rPr>
              <w:t>A</w:t>
            </w:r>
          </w:p>
        </w:tc>
        <w:tc>
          <w:tcPr>
            <w:tcW w:type="dxa" w:w="5789"/>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Responsive, correct viewport, no Flash/iFrames</w:t>
            </w:r>
          </w:p>
        </w:tc>
      </w:tr>
      <w:tr>
        <w:trPr>
          <w:cantSplit w:val="true"/>
        </w:trPr>
        <w:tc>
          <w:tcPr>
            <w:tcW w:type="dxa" w:w="2969"/>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Page Performance</w:t>
            </w:r>
          </w:p>
        </w:tc>
        <w:tc>
          <w:tcPr>
            <w:tcW w:type="dxa" w:w="891"/>
            <w:shd w:val="clear" w:color="auto" w:fill="C777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9"/>
              </w:rPr>
              <w:t>D</w:t>
            </w:r>
          </w:p>
        </w:tc>
        <w:tc>
          <w:tcPr>
            <w:tcW w:type="dxa" w:w="5789"/>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6.1MB load, 7.9s content, HTTP/1 only</w:t>
            </w:r>
          </w:p>
        </w:tc>
      </w:tr>
      <w:tr>
        <w:trPr>
          <w:cantSplit w:val="true"/>
        </w:trPr>
        <w:tc>
          <w:tcPr>
            <w:tcW w:type="dxa" w:w="2969"/>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Organic Search (23,500/mo)</w:t>
            </w:r>
          </w:p>
        </w:tc>
        <w:tc>
          <w:tcPr>
            <w:tcW w:type="dxa" w:w="891"/>
            <w:shd w:val="clear" w:color="auto" w:fill="006DB6"/>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9"/>
              </w:rPr>
              <w:t>B</w:t>
            </w:r>
          </w:p>
        </w:tc>
        <w:tc>
          <w:tcPr>
            <w:tcW w:type="dxa" w:w="5789"/>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Stable — but 60% dependent on branded terms</w:t>
            </w:r>
          </w:p>
        </w:tc>
      </w:tr>
      <w:tr>
        <w:trPr>
          <w:cantSplit w:val="true"/>
        </w:trPr>
        <w:tc>
          <w:tcPr>
            <w:tcW w:type="dxa" w:w="2969"/>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Paid Search (215 visits/mo)</w:t>
            </w:r>
          </w:p>
        </w:tc>
        <w:tc>
          <w:tcPr>
            <w:tcW w:type="dxa" w:w="891"/>
            <w:shd w:val="clear" w:color="auto" w:fill="59595B"/>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9"/>
              </w:rPr>
              <w:t>C</w:t>
            </w:r>
          </w:p>
        </w:tc>
        <w:tc>
          <w:tcPr>
            <w:tcW w:type="dxa" w:w="5789"/>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Only 2 keywords active — significant gap</w:t>
            </w:r>
          </w:p>
        </w:tc>
      </w:tr>
      <w:tr>
        <w:trPr>
          <w:cantSplit w:val="true"/>
        </w:trPr>
        <w:tc>
          <w:tcPr>
            <w:tcW w:type="dxa" w:w="2969"/>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Backlink Authority (5,100 links)</w:t>
            </w:r>
          </w:p>
        </w:tc>
        <w:tc>
          <w:tcPr>
            <w:tcW w:type="dxa" w:w="891"/>
            <w:shd w:val="clear" w:color="auto" w:fill="006DB6"/>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9"/>
              </w:rPr>
              <w:t>B</w:t>
            </w:r>
          </w:p>
        </w:tc>
        <w:tc>
          <w:tcPr>
            <w:tcW w:type="dxa" w:w="5789"/>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986 referring domains — healthy base</w:t>
            </w:r>
          </w:p>
        </w:tc>
      </w:tr>
      <w:tr>
        <w:trPr>
          <w:cantSplit w:val="true"/>
        </w:trPr>
        <w:tc>
          <w:tcPr>
            <w:tcW w:type="dxa" w:w="2969"/>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Local SEO</w:t>
            </w:r>
          </w:p>
        </w:tc>
        <w:tc>
          <w:tcPr>
            <w:tcW w:type="dxa" w:w="891"/>
            <w:shd w:val="clear" w:color="auto" w:fill="59595B"/>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9"/>
              </w:rPr>
              <w:t>C</w:t>
            </w:r>
          </w:p>
        </w:tc>
        <w:tc>
          <w:tcPr>
            <w:tcW w:type="dxa" w:w="5789"/>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GBP verified, but address &amp; schema missing on page</w:t>
            </w:r>
          </w:p>
        </w:tc>
      </w:tr>
      <w:tr>
        <w:trPr>
          <w:cantSplit w:val="true"/>
        </w:trPr>
        <w:tc>
          <w:tcPr>
            <w:tcW w:type="dxa" w:w="2969"/>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AI Outbound / Lead Gen</w:t>
            </w:r>
          </w:p>
        </w:tc>
        <w:tc>
          <w:tcPr>
            <w:tcW w:type="dxa" w:w="891"/>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9"/>
              </w:rPr>
              <w:t>F</w:t>
            </w:r>
          </w:p>
        </w:tc>
        <w:tc>
          <w:tcPr>
            <w:tcW w:type="dxa" w:w="5789"/>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NEW — no AI-driven outbound today; biggest growth lever</w:t>
            </w:r>
          </w:p>
        </w:tc>
      </w:tr>
      <w:tr>
        <w:trPr>
          <w:cantSplit w:val="true"/>
        </w:trPr>
        <w:tc>
          <w:tcPr>
            <w:tcW w:type="dxa" w:w="2969"/>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Internal AI (sales / credit / CRM)</w:t>
            </w:r>
          </w:p>
        </w:tc>
        <w:tc>
          <w:tcPr>
            <w:tcW w:type="dxa" w:w="891"/>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9"/>
              </w:rPr>
              <w:t>F</w:t>
            </w:r>
          </w:p>
        </w:tc>
        <w:tc>
          <w:tcPr>
            <w:tcW w:type="dxa" w:w="5789"/>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NEW — Salesforce, credit, FleetSeek not AI-orchestrated yet</w:t>
            </w:r>
          </w:p>
        </w:tc>
      </w:tr>
    </w:tbl>
    <w:p>
      <w:pPr>
        <w:spacing w:after="120"/>
      </w:pPr>
    </w:p>
    <w:p>
      <w:pPr>
        <w:spacing w:after="120"/>
      </w:pPr>
      <w:r>
        <w:rPr>
          <w:rFonts w:ascii="Arial" w:hAnsi="Arial"/>
          <w:b w:val="0"/>
          <w:i/>
          <w:color w:val="59595B"/>
          <w:sz w:val="17"/>
        </w:rPr>
        <w:t>This report is intended exclusively for SC Fuels leadership and authorized partners.</w:t>
      </w:r>
    </w:p>
    <w:p>
      <w:pPr>
        <w:pStyle w:val="Heading1"/>
        <w:pageBreakBefore/>
        <w:spacing w:before="0"/>
        <w:pBdr>
          <w:bottom w:val="single" w:sz="12" w:space="3" w:color="F67D4B"/>
        </w:pBdr>
      </w:pPr>
      <w:r>
        <w:rPr>
          <w:rFonts w:ascii="Arial" w:hAnsi="Arial"/>
          <w:b/>
          <w:i w:val="0"/>
          <w:color w:val="006DB6"/>
          <w:sz w:val="30"/>
        </w:rPr>
        <w:t>1.  Executive Summary</w:t>
      </w:r>
    </w:p>
    <w:p>
      <w:pPr>
        <w:spacing w:after="120"/>
      </w:pPr>
      <w:r>
        <w:rPr>
          <w:rFonts w:ascii="Arial" w:hAnsi="Arial"/>
          <w:b w:val="0"/>
          <w:i w:val="0"/>
          <w:color w:val="2D2D2D"/>
          <w:sz w:val="21"/>
        </w:rPr>
        <w:t>SC Fuels (scfuels.com) is one of the oldest and largest petroleum distributors in the United States — a legacy industrial brand, acquired by Pilot Company in 2021, headquartered in Orange, California, and serving 11,000+ commercial customers across 15 western states. This revision builds on the June 2026 technical audit and folds in the priorities Derek Bettencourt shared in our June 2 strategy session.</w:t>
      </w:r>
    </w:p>
    <w:p>
      <w:pPr>
        <w:spacing w:after="120"/>
      </w:pPr>
      <w:r>
        <w:rPr>
          <w:rFonts w:ascii="Arial" w:hAnsi="Arial"/>
          <w:b/>
          <w:i w:val="0"/>
          <w:color w:val="1A1A2E"/>
          <w:sz w:val="21"/>
        </w:rPr>
        <w:t xml:space="preserve">The thread that ties it together: </w:t>
      </w:r>
      <w:r>
        <w:rPr>
          <w:rFonts w:ascii="Arial" w:hAnsi="Arial"/>
          <w:b w:val="0"/>
          <w:i w:val="0"/>
          <w:color w:val="2D2D2D"/>
          <w:sz w:val="21"/>
        </w:rPr>
      </w:r>
    </w:p>
    <w:p>
      <w:pPr>
        <w:spacing w:after="120"/>
      </w:pPr>
      <w:r>
        <w:rPr>
          <w:rFonts w:ascii="Arial" w:hAnsi="Arial"/>
          <w:b w:val="0"/>
          <w:i w:val="0"/>
          <w:color w:val="2D2D2D"/>
          <w:sz w:val="21"/>
        </w:rPr>
        <w:t>Derek named a clear goal — grow the book of business without simply adding salespeople, by giving each rep AI that does the heavy lifting so one person can cover two, three, or four times the ground. Everything below serves that goal. WebFX continues to own the SEO and content layer it does well; Technijian adds the parts WebFX does not provide — AI-driven outbound lead generation, the AI search (GEO) layer, and the internal AI that multiplies each salesperson — and stands ready to take on more if and when SC Fuels wants to consolidate.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12"/>
        <w:gridCol w:w="2412"/>
        <w:gridCol w:w="2412"/>
        <w:gridCol w:w="2412"/>
      </w:tblGrid>
      <w:tr>
        <w:tc>
          <w:tcPr>
            <w:tcW w:type="dxa" w:w="2412"/>
            <w:shd w:val="clear" w:color="auto" w:fill="F4F6F8"/>
            <w:tcBorders>
              <w:top w:val="single" w:sz="20" w:space="0" w:color="FFFFFF"/>
              <w:bottom w:val="single" w:sz="20" w:space="0" w:color="FFFFFF"/>
              <w:left w:val="single" w:sz="20" w:space="0" w:color="FFFFFF"/>
              <w:right w:val="single" w:sz="20" w:space="0" w:color="FFFFFF"/>
            </w:tcBorders>
            <w:tcMar>
              <w:top w:w="110" w:type="dxa"/>
              <w:bottom w:w="110" w:type="dxa"/>
              <w:left w:w="80" w:type="dxa"/>
              <w:right w:w="80" w:type="dxa"/>
            </w:tcMar>
            <w:vAlign w:val="center"/>
          </w:tcPr>
          <w:p>
            <w:pPr>
              <w:spacing w:after="20"/>
              <w:jc w:val="center"/>
            </w:pPr>
            <w:r/>
            <w:r>
              <w:rPr>
                <w:rFonts w:ascii="Arial" w:hAnsi="Arial"/>
                <w:b/>
                <w:i w:val="0"/>
                <w:color w:val="006DB6"/>
                <w:sz w:val="42"/>
              </w:rPr>
              <w:t>23,500</w:t>
            </w:r>
          </w:p>
          <w:p>
            <w:pPr>
              <w:spacing w:before="0"/>
              <w:jc w:val="center"/>
            </w:pPr>
            <w:r>
              <w:rPr>
                <w:rFonts w:ascii="Arial" w:hAnsi="Arial"/>
                <w:b/>
                <w:i w:val="0"/>
                <w:color w:val="59595B"/>
                <w:sz w:val="16"/>
              </w:rPr>
              <w:t>ORGANIC VISITS / MO</w:t>
            </w:r>
          </w:p>
        </w:tc>
        <w:tc>
          <w:tcPr>
            <w:tcW w:type="dxa" w:w="2412"/>
            <w:shd w:val="clear" w:color="auto" w:fill="F4F6F8"/>
            <w:tcBorders>
              <w:top w:val="single" w:sz="20" w:space="0" w:color="FFFFFF"/>
              <w:bottom w:val="single" w:sz="20" w:space="0" w:color="FFFFFF"/>
              <w:left w:val="single" w:sz="20" w:space="0" w:color="FFFFFF"/>
              <w:right w:val="single" w:sz="20" w:space="0" w:color="FFFFFF"/>
            </w:tcBorders>
            <w:tcMar>
              <w:top w:w="110" w:type="dxa"/>
              <w:bottom w:w="110" w:type="dxa"/>
              <w:left w:w="80" w:type="dxa"/>
              <w:right w:w="80" w:type="dxa"/>
            </w:tcMar>
            <w:vAlign w:val="center"/>
          </w:tcPr>
          <w:p>
            <w:pPr>
              <w:spacing w:after="20"/>
              <w:jc w:val="center"/>
            </w:pPr>
            <w:r/>
            <w:r>
              <w:rPr>
                <w:rFonts w:ascii="Arial" w:hAnsi="Arial"/>
                <w:b/>
                <w:i w:val="0"/>
                <w:color w:val="F67D4B"/>
                <w:sz w:val="42"/>
              </w:rPr>
              <w:t>60%</w:t>
            </w:r>
          </w:p>
          <w:p>
            <w:pPr>
              <w:spacing w:before="0"/>
              <w:jc w:val="center"/>
            </w:pPr>
            <w:r>
              <w:rPr>
                <w:rFonts w:ascii="Arial" w:hAnsi="Arial"/>
                <w:b/>
                <w:i w:val="0"/>
                <w:color w:val="59595B"/>
                <w:sz w:val="16"/>
              </w:rPr>
              <w:t>TRAFFIC IS BRANDED</w:t>
            </w:r>
          </w:p>
        </w:tc>
        <w:tc>
          <w:tcPr>
            <w:tcW w:type="dxa" w:w="2412"/>
            <w:shd w:val="clear" w:color="auto" w:fill="F4F6F8"/>
            <w:tcBorders>
              <w:top w:val="single" w:sz="20" w:space="0" w:color="FFFFFF"/>
              <w:bottom w:val="single" w:sz="20" w:space="0" w:color="FFFFFF"/>
              <w:left w:val="single" w:sz="20" w:space="0" w:color="FFFFFF"/>
              <w:right w:val="single" w:sz="20" w:space="0" w:color="FFFFFF"/>
            </w:tcBorders>
            <w:tcMar>
              <w:top w:w="110" w:type="dxa"/>
              <w:bottom w:w="110" w:type="dxa"/>
              <w:left w:w="80" w:type="dxa"/>
              <w:right w:w="80" w:type="dxa"/>
            </w:tcMar>
            <w:vAlign w:val="center"/>
          </w:tcPr>
          <w:p>
            <w:pPr>
              <w:spacing w:after="20"/>
              <w:jc w:val="center"/>
            </w:pPr>
            <w:r/>
            <w:r>
              <w:rPr>
                <w:rFonts w:ascii="Arial" w:hAnsi="Arial"/>
                <w:b/>
                <w:i w:val="0"/>
                <w:color w:val="CC0000"/>
                <w:sz w:val="42"/>
              </w:rPr>
              <w:t>Grade F</w:t>
            </w:r>
          </w:p>
          <w:p>
            <w:pPr>
              <w:spacing w:before="0"/>
              <w:jc w:val="center"/>
            </w:pPr>
            <w:r>
              <w:rPr>
                <w:rFonts w:ascii="Arial" w:hAnsi="Arial"/>
                <w:b/>
                <w:i w:val="0"/>
                <w:color w:val="59595B"/>
                <w:sz w:val="16"/>
              </w:rPr>
              <w:t>AI-SEARCH VISIBILITY</w:t>
            </w:r>
          </w:p>
        </w:tc>
        <w:tc>
          <w:tcPr>
            <w:tcW w:type="dxa" w:w="2412"/>
            <w:shd w:val="clear" w:color="auto" w:fill="F4F6F8"/>
            <w:tcBorders>
              <w:top w:val="single" w:sz="20" w:space="0" w:color="FFFFFF"/>
              <w:bottom w:val="single" w:sz="20" w:space="0" w:color="FFFFFF"/>
              <w:left w:val="single" w:sz="20" w:space="0" w:color="FFFFFF"/>
              <w:right w:val="single" w:sz="20" w:space="0" w:color="FFFFFF"/>
            </w:tcBorders>
            <w:tcMar>
              <w:top w:w="110" w:type="dxa"/>
              <w:bottom w:w="110" w:type="dxa"/>
              <w:left w:w="80" w:type="dxa"/>
              <w:right w:w="80" w:type="dxa"/>
            </w:tcMar>
            <w:vAlign w:val="center"/>
          </w:tcPr>
          <w:p>
            <w:pPr>
              <w:spacing w:after="20"/>
              <w:jc w:val="center"/>
            </w:pPr>
            <w:r/>
            <w:r>
              <w:rPr>
                <w:rFonts w:ascii="Arial" w:hAnsi="Arial"/>
                <w:b/>
                <w:i w:val="0"/>
                <w:color w:val="1E8E3E"/>
                <w:sz w:val="42"/>
              </w:rPr>
              <w:t>$100K+</w:t>
            </w:r>
          </w:p>
          <w:p>
            <w:pPr>
              <w:spacing w:before="0"/>
              <w:jc w:val="center"/>
            </w:pPr>
            <w:r>
              <w:rPr>
                <w:rFonts w:ascii="Arial" w:hAnsi="Arial"/>
                <w:b/>
                <w:i w:val="0"/>
                <w:color w:val="59595B"/>
                <w:sz w:val="16"/>
              </w:rPr>
              <w:t>VALUE / NEW FLEET ACCOUNT</w:t>
            </w:r>
          </w:p>
        </w:tc>
      </w:tr>
    </w:tbl>
    <w:p>
      <w:pPr>
        <w:spacing w:after="160"/>
      </w:pPr>
    </w:p>
    <w:p>
      <w:pPr>
        <w:pStyle w:val="Heading2"/>
      </w:pPr>
      <w:r>
        <w:rPr>
          <w:rFonts w:ascii="Arial" w:hAnsi="Arial"/>
          <w:b/>
          <w:i w:val="0"/>
          <w:color w:val="1A1A2E"/>
          <w:sz w:val="25"/>
        </w:rPr>
        <w:t>Three findings from the audit (unchanged)</w:t>
      </w:r>
    </w:p>
    <w:p>
      <w:pPr>
        <w:spacing w:after="120"/>
      </w:pPr>
      <w:r>
        <w:rPr>
          <w:rFonts w:ascii="Arial" w:hAnsi="Arial"/>
          <w:b/>
          <w:i w:val="0"/>
          <w:color w:val="1A1A2E"/>
          <w:sz w:val="21"/>
        </w:rPr>
        <w:t xml:space="preserve">1.  GEO Grade F (Critical).  </w:t>
      </w:r>
      <w:r>
        <w:rPr>
          <w:rFonts w:ascii="Arial" w:hAnsi="Arial"/>
          <w:b w:val="0"/>
          <w:i w:val="0"/>
          <w:color w:val="2D2D2D"/>
          <w:sz w:val="21"/>
        </w:rPr>
      </w:r>
    </w:p>
    <w:p>
      <w:pPr>
        <w:spacing w:after="120"/>
      </w:pPr>
      <w:r>
        <w:rPr>
          <w:rFonts w:ascii="Arial" w:hAnsi="Arial"/>
          <w:b w:val="0"/>
          <w:i w:val="0"/>
          <w:color w:val="2D2D2D"/>
          <w:sz w:val="21"/>
        </w:rPr>
        <w:t>About 89% of the homepage is JavaScript-rendered, which makes it largely invisible to LLMs and AI search (Google AI Overviews, ChatGPT, Perplexity, Gemini). For a company whose buyers increasingly ask an AI assistant “who are the best bulk diesel suppliers in the west?” before they ever call, this is a real and growing blind spot.</w:t>
      </w:r>
    </w:p>
    <w:p>
      <w:pPr>
        <w:spacing w:after="120"/>
      </w:pPr>
      <w:r>
        <w:rPr>
          <w:rFonts w:ascii="Arial" w:hAnsi="Arial"/>
          <w:b/>
          <w:i w:val="0"/>
          <w:color w:val="1A1A2E"/>
          <w:sz w:val="21"/>
        </w:rPr>
        <w:t xml:space="preserve">2.  Paid search severely underutilized.  </w:t>
      </w:r>
      <w:r>
        <w:rPr>
          <w:rFonts w:ascii="Arial" w:hAnsi="Arial"/>
          <w:b w:val="0"/>
          <w:i w:val="0"/>
          <w:color w:val="2D2D2D"/>
          <w:sz w:val="21"/>
        </w:rPr>
      </w:r>
    </w:p>
    <w:p>
      <w:pPr>
        <w:spacing w:after="120"/>
      </w:pPr>
      <w:r>
        <w:rPr>
          <w:rFonts w:ascii="Arial" w:hAnsi="Arial"/>
          <w:b w:val="0"/>
          <w:i w:val="0"/>
          <w:color w:val="2D2D2D"/>
          <w:sz w:val="21"/>
        </w:rPr>
        <w:t>SC Fuels runs exactly 2 paid keywords (~215 visits/mo) while a single competitor runs 195. Given the lifetime value of a commercial fleet contract, targeted paid search is one of the fastest paths to measurable new-account ROI available today.</w:t>
      </w:r>
    </w:p>
    <w:p>
      <w:pPr>
        <w:spacing w:after="120"/>
      </w:pPr>
      <w:r>
        <w:rPr>
          <w:rFonts w:ascii="Arial" w:hAnsi="Arial"/>
          <w:b/>
          <w:i w:val="0"/>
          <w:color w:val="1A1A2E"/>
          <w:sz w:val="21"/>
        </w:rPr>
        <w:t xml:space="preserve">3.  60% of organic traffic is branded.  </w:t>
      </w:r>
      <w:r>
        <w:rPr>
          <w:rFonts w:ascii="Arial" w:hAnsi="Arial"/>
          <w:b w:val="0"/>
          <w:i w:val="0"/>
          <w:color w:val="2D2D2D"/>
          <w:sz w:val="21"/>
        </w:rPr>
      </w:r>
    </w:p>
    <w:p>
      <w:pPr>
        <w:spacing w:after="120"/>
      </w:pPr>
      <w:r>
        <w:rPr>
          <w:rFonts w:ascii="Arial" w:hAnsi="Arial"/>
          <w:b w:val="0"/>
          <w:i w:val="0"/>
          <w:color w:val="2D2D2D"/>
          <w:sz w:val="21"/>
        </w:rPr>
        <w:t>More than half of organic traffic comes from people who already know SC Fuels by name. Non-branded search — the genuine acquisition channel — is only ~40% and needs a deliberate content and keyword program.</w:t>
      </w:r>
    </w:p>
    <w:p>
      <w:pPr>
        <w:pStyle w:val="Heading2"/>
      </w:pPr>
      <w:r>
        <w:rPr>
          <w:rFonts w:ascii="Arial" w:hAnsi="Arial"/>
          <w:b/>
          <w:i w:val="0"/>
          <w:color w:val="1A1A2E"/>
          <w:sz w:val="25"/>
        </w:rPr>
        <w:t>Three things we added after June 2</w:t>
      </w:r>
    </w:p>
    <w:tbl>
      <w:tblPr>
        <w:tblW w:type="auto" w:w="0"/>
        <w:jc w:val="center"/>
        <w:tblLook w:firstColumn="1" w:firstRow="1" w:lastColumn="0" w:lastRow="0" w:noHBand="0" w:noVBand="1" w:val="04A0"/>
      </w:tblPr>
      <w:tblGrid>
        <w:gridCol w:w="9648"/>
      </w:tblGrid>
      <w:tr>
        <w:trPr>
          <w:cantSplit w:val="true"/>
        </w:trPr>
        <w:tc>
          <w:tcPr>
            <w:tcW w:type="dxa" w:w="9648"/>
            <w:shd w:val="clear" w:color="auto" w:fill="F4F6F8"/>
            <w:tcBorders>
              <w:top w:val="single" w:sz="4" w:space="0" w:color="E9ECEF"/>
              <w:bottom w:val="single" w:sz="4" w:space="0" w:color="E9ECEF"/>
              <w:right w:val="single" w:sz="4" w:space="0" w:color="E9ECEF"/>
              <w:left w:val="single" w:sz="28" w:space="0" w:color="F67D4B"/>
            </w:tcBorders>
            <w:tcMar>
              <w:top w:w="90" w:type="dxa"/>
              <w:bottom w:w="90" w:type="dxa"/>
              <w:left w:w="160" w:type="dxa"/>
              <w:right w:w="140" w:type="dxa"/>
            </w:tcMar>
          </w:tcPr>
          <w:p>
            <w:pPr>
              <w:spacing w:after="60"/>
            </w:pPr>
            <w:r/>
            <w:r>
              <w:rPr>
                <w:rFonts w:ascii="Arial" w:hAnsi="Arial"/>
                <w:b/>
                <w:i w:val="0"/>
                <w:color w:val="F67D4B"/>
                <w:sz w:val="21"/>
              </w:rPr>
              <w:t>What changed in Revision 2</w:t>
            </w:r>
          </w:p>
          <w:p>
            <w:pPr>
              <w:spacing w:after="40" w:line="283" w:lineRule="auto"/>
            </w:pPr>
            <w:r>
              <w:rPr>
                <w:rFonts w:ascii="Arial" w:hAnsi="Arial"/>
                <w:b/>
                <w:i w:val="0"/>
                <w:color w:val="1A1A2E"/>
                <w:sz w:val="19"/>
              </w:rPr>
              <w:t xml:space="preserve">Inbound is necessary but not sufficient.  </w:t>
            </w:r>
            <w:r>
              <w:rPr>
                <w:rFonts w:ascii="Arial" w:hAnsi="Arial"/>
                <w:b w:val="0"/>
                <w:i w:val="0"/>
                <w:color w:val="2D2D2D"/>
                <w:sz w:val="19"/>
              </w:rPr>
              <w:t>SEO brings warmer leads in. To grow without adding headcount you also need outbound that runs itself — so we added an AI Lead Generation engine (Section 13, Pillar 3).</w:t>
            </w:r>
          </w:p>
          <w:p>
            <w:pPr>
              <w:spacing w:after="40" w:line="283" w:lineRule="auto"/>
            </w:pPr>
            <w:r>
              <w:rPr>
                <w:rFonts w:ascii="Arial" w:hAnsi="Arial"/>
                <w:b/>
                <w:i w:val="0"/>
                <w:color w:val="1A1A2E"/>
                <w:sz w:val="19"/>
              </w:rPr>
              <w:t xml:space="preserve">Reach the buyer who is replacing the phone call.  </w:t>
            </w:r>
            <w:r>
              <w:rPr>
                <w:rFonts w:ascii="Arial" w:hAnsi="Arial"/>
                <w:b w:val="0"/>
                <w:i w:val="0"/>
                <w:color w:val="2D2D2D"/>
                <w:sz w:val="19"/>
              </w:rPr>
              <w:t>Derek flagged a generational shift: younger buyers at construction, trucking and tree-service firms research on social, video and AI — not cold calls. The content + social engine (Pillar 2) is built for them.</w:t>
            </w:r>
          </w:p>
          <w:p>
            <w:pPr>
              <w:spacing w:after="40" w:line="283" w:lineRule="auto"/>
            </w:pPr>
            <w:r>
              <w:rPr>
                <w:rFonts w:ascii="Arial" w:hAnsi="Arial"/>
                <w:b/>
                <w:i w:val="0"/>
                <w:color w:val="1A1A2E"/>
                <w:sz w:val="19"/>
              </w:rPr>
              <w:t xml:space="preserve">Multiply the salesperson, don’t replace them.  </w:t>
            </w:r>
            <w:r>
              <w:rPr>
                <w:rFonts w:ascii="Arial" w:hAnsi="Arial"/>
                <w:b w:val="0"/>
                <w:i w:val="0"/>
                <w:color w:val="2D2D2D"/>
                <w:sz w:val="19"/>
              </w:rPr>
              <w:t>Pilot — SC Fuels’ parent — has cut new-customer onboarding from 27 days to 3 with AI (as Derek shared on June 2). The internal-AI plan (Pillar 4) targets the same wins for SC Fuels — Salesforce opportunity progression and the credit process — so reps spend time on relationships, not paperwork.</w:t>
            </w:r>
          </w:p>
        </w:tc>
      </w:tr>
    </w:tbl>
    <w:p>
      <w:pPr>
        <w:spacing w:after="140"/>
      </w:pPr>
    </w:p>
    <w:p>
      <w:pPr>
        <w:spacing w:after="120"/>
      </w:pPr>
      <w:r>
        <w:rPr>
          <w:rFonts w:ascii="Arial" w:hAnsi="Arial"/>
          <w:b w:val="0"/>
          <w:i w:val="0"/>
          <w:color w:val="2D2D2D"/>
          <w:sz w:val="21"/>
        </w:rPr>
        <w:t>The rest of this report walks the audit findings first (Sections 2–11), then a plain-English AI primer for leadership (Section 12), the four-pillar AI growth engine and how it works alongside WebFX (Section 13), the coordinated operating model and the optional path to consolidate (Section 14), the investment picture against what agencies like WebFX typically charge (Section 15), a sequenced roadmap (Section 16), and no-commitment quick wins (Section 17).</w:t>
      </w:r>
    </w:p>
    <w:p>
      <w:pPr>
        <w:pStyle w:val="Heading1"/>
        <w:pageBreakBefore/>
        <w:spacing w:before="0"/>
        <w:pBdr>
          <w:bottom w:val="single" w:sz="12" w:space="3" w:color="F67D4B"/>
        </w:pBdr>
      </w:pPr>
      <w:r>
        <w:rPr>
          <w:rFonts w:ascii="Arial" w:hAnsi="Arial"/>
          <w:b/>
          <w:i w:val="0"/>
          <w:color w:val="006DB6"/>
          <w:sz w:val="30"/>
        </w:rPr>
        <w:t>2.  What We Heard — June 2 Strategy Session</w:t>
      </w:r>
    </w:p>
    <w:p>
      <w:pPr>
        <w:spacing w:after="120"/>
      </w:pPr>
      <w:r>
        <w:rPr>
          <w:rFonts w:ascii="Arial" w:hAnsi="Arial"/>
          <w:b w:val="0"/>
          <w:i w:val="0"/>
          <w:color w:val="2D2D2D"/>
          <w:sz w:val="21"/>
        </w:rPr>
        <w:t>Before the analysis, here is what Derek told us on June 2, and how each point maps to the plan. Every row below is something SC Fuels said out loud — not a cold assumption — which is why we treat these as validated priorities rather than guesses.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3784"/>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What SC Fuels said</w:t>
            </w:r>
          </w:p>
        </w:tc>
        <w:tc>
          <w:tcPr>
            <w:tcW w:type="dxa" w:w="4540"/>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What it means for the plan</w:t>
            </w:r>
          </w:p>
        </w:tc>
        <w:tc>
          <w:tcPr>
            <w:tcW w:type="dxa" w:w="1324"/>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Status</w:t>
            </w:r>
          </w:p>
        </w:tc>
      </w:tr>
      <w:tr>
        <w:trPr>
          <w:cantSplit w:val="true"/>
        </w:trPr>
        <w:tc>
          <w:tcPr>
            <w:tcW w:type="dxa" w:w="378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“Add business without [just] adding salespeople” — Derek’s stated goal</w:t>
            </w:r>
          </w:p>
        </w:tc>
        <w:tc>
          <w:tcPr>
            <w:tcW w:type="dxa" w:w="454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Reframe as: AI lets one rep cover 2–4× the accounts. The organizing idea of the whole engine.</w:t>
            </w:r>
          </w:p>
        </w:tc>
        <w:tc>
          <w:tcPr>
            <w:tcW w:type="dxa" w:w="1324"/>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VALIDATED</w:t>
            </w:r>
          </w:p>
        </w:tc>
      </w:tr>
      <w:tr>
        <w:trPr>
          <w:cantSplit w:val="true"/>
        </w:trPr>
        <w:tc>
          <w:tcPr>
            <w:tcW w:type="dxa" w:w="378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“We had a budget approved to redo the entire website… to incorporate AI tools”</w:t>
            </w:r>
          </w:p>
        </w:tc>
        <w:tc>
          <w:tcPr>
            <w:tcW w:type="dxa" w:w="454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Build the new site AI-ready and GEO-ready from day one (Pillars 1 &amp; 4). Timing is now.</w:t>
            </w:r>
          </w:p>
        </w:tc>
        <w:tc>
          <w:tcPr>
            <w:tcW w:type="dxa" w:w="1324"/>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VALIDATED</w:t>
            </w:r>
          </w:p>
        </w:tc>
      </w:tr>
      <w:tr>
        <w:trPr>
          <w:cantSplit w:val="true"/>
        </w:trPr>
        <w:tc>
          <w:tcPr>
            <w:tcW w:type="dxa" w:w="378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Wants “warmer leads”, less dependence on cold calls / door knocks</w:t>
            </w:r>
          </w:p>
        </w:tc>
        <w:tc>
          <w:tcPr>
            <w:tcW w:type="dxa" w:w="454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Inbound content + AI outbound that lands warm, ICP-scored leads in the rep’s inbox.</w:t>
            </w:r>
          </w:p>
        </w:tc>
        <w:tc>
          <w:tcPr>
            <w:tcW w:type="dxa" w:w="1324"/>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VALIDATED</w:t>
            </w:r>
          </w:p>
        </w:tc>
      </w:tr>
      <w:tr>
        <w:trPr>
          <w:cantSplit w:val="true"/>
        </w:trPr>
        <w:tc>
          <w:tcPr>
            <w:tcW w:type="dxa" w:w="378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“Glaring hole… municipalities, government sector” (RFPs favor the incumbent)</w:t>
            </w:r>
          </w:p>
        </w:tc>
        <w:tc>
          <w:tcPr>
            <w:tcW w:type="dxa" w:w="454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 RFP discovery + auto-drafting to compete on more bids with the same team (Pillar 3).</w:t>
            </w:r>
          </w:p>
        </w:tc>
        <w:tc>
          <w:tcPr>
            <w:tcW w:type="dxa" w:w="1324"/>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VALIDATED</w:t>
            </w:r>
          </w:p>
        </w:tc>
      </w:tr>
      <w:tr>
        <w:trPr>
          <w:cantSplit w:val="true"/>
        </w:trPr>
        <w:tc>
          <w:tcPr>
            <w:tcW w:type="dxa" w:w="378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Younger buyers research on social, text, video, AI — not phone calls</w:t>
            </w:r>
          </w:p>
        </w:tc>
        <w:tc>
          <w:tcPr>
            <w:tcW w:type="dxa" w:w="454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Blog → video → social → podcast factory + AI search visibility (Pillar 2).</w:t>
            </w:r>
          </w:p>
        </w:tc>
        <w:tc>
          <w:tcPr>
            <w:tcW w:type="dxa" w:w="1324"/>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VALIDATED</w:t>
            </w:r>
          </w:p>
        </w:tc>
      </w:tr>
      <w:tr>
        <w:trPr>
          <w:cantSplit w:val="true"/>
        </w:trPr>
        <w:tc>
          <w:tcPr>
            <w:tcW w:type="dxa" w:w="378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“Not thrilled with how we’re utilizing Salesforce” — opportunities stall</w:t>
            </w:r>
          </w:p>
        </w:tc>
        <w:tc>
          <w:tcPr>
            <w:tcW w:type="dxa" w:w="454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 that pushes opportunities through the sales path; ties InsightView + FleetSeek together (Pillar 4).</w:t>
            </w:r>
          </w:p>
        </w:tc>
        <w:tc>
          <w:tcPr>
            <w:tcW w:type="dxa" w:w="1324"/>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VALIDATED</w:t>
            </w:r>
          </w:p>
        </w:tc>
      </w:tr>
      <w:tr>
        <w:trPr>
          <w:cantSplit w:val="true"/>
        </w:trPr>
        <w:tc>
          <w:tcPr>
            <w:tcW w:type="dxa" w:w="378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“I’d love a tool that got the credit process refined or improved”</w:t>
            </w:r>
          </w:p>
        </w:tc>
        <w:tc>
          <w:tcPr>
            <w:tcW w:type="dxa" w:w="454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AI-assisted credit intake &amp; decision acceleration — faster yes/no, less manual review.</w:t>
            </w:r>
          </w:p>
        </w:tc>
        <w:tc>
          <w:tcPr>
            <w:tcW w:type="dxa" w:w="1324"/>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VALIDATED</w:t>
            </w:r>
          </w:p>
        </w:tc>
      </w:tr>
      <w:tr>
        <w:trPr>
          <w:cantSplit w:val="true"/>
        </w:trPr>
        <w:tc>
          <w:tcPr>
            <w:tcW w:type="dxa" w:w="378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Pilot cut onboarding 27 days → 3 days with AI; “AI is a huge topic” at Pilot</w:t>
            </w:r>
          </w:p>
        </w:tc>
        <w:tc>
          <w:tcPr>
            <w:tcW w:type="dxa" w:w="454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 concrete internal benchmark SC Fuels can match — and show Pilot it is moving.</w:t>
            </w:r>
          </w:p>
        </w:tc>
        <w:tc>
          <w:tcPr>
            <w:tcW w:type="dxa" w:w="1324"/>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VALIDATED</w:t>
            </w:r>
          </w:p>
        </w:tc>
      </w:tr>
      <w:tr>
        <w:trPr>
          <w:cantSplit w:val="true"/>
        </w:trPr>
        <w:tc>
          <w:tcPr>
            <w:tcW w:type="dxa" w:w="378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Competes with card NETWORKS (WEX, Voyager), not just other distributors</w:t>
            </w:r>
          </w:p>
        </w:tc>
        <w:tc>
          <w:tcPr>
            <w:tcW w:type="dxa" w:w="454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Widen the competitive lens beyond fuel distributors (Section 8).</w:t>
            </w:r>
          </w:p>
        </w:tc>
        <w:tc>
          <w:tcPr>
            <w:tcW w:type="dxa" w:w="1324"/>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VALIDATED</w:t>
            </w:r>
          </w:p>
        </w:tc>
      </w:tr>
    </w:tbl>
    <w:p>
      <w:pPr>
        <w:spacing w:after="120"/>
      </w:pPr>
    </w:p>
    <w:tbl>
      <w:tblPr>
        <w:tblW w:type="auto" w:w="0"/>
        <w:jc w:val="center"/>
        <w:tblLook w:firstColumn="1" w:firstRow="1" w:lastColumn="0" w:lastRow="0" w:noHBand="0" w:noVBand="1" w:val="04A0"/>
      </w:tblPr>
      <w:tblGrid>
        <w:gridCol w:w="9648"/>
      </w:tblGrid>
      <w:tr>
        <w:trPr>
          <w:cantSplit w:val="true"/>
        </w:trPr>
        <w:tc>
          <w:tcPr>
            <w:tcW w:type="dxa" w:w="9648"/>
            <w:shd w:val="clear" w:color="auto" w:fill="F4F6F8"/>
            <w:tcBorders>
              <w:top w:val="single" w:sz="4" w:space="0" w:color="E9ECEF"/>
              <w:bottom w:val="single" w:sz="4" w:space="0" w:color="E9ECEF"/>
              <w:right w:val="single" w:sz="4" w:space="0" w:color="E9ECEF"/>
              <w:left w:val="single" w:sz="28" w:space="0" w:color="006DB6"/>
            </w:tcBorders>
            <w:tcMar>
              <w:top w:w="90" w:type="dxa"/>
              <w:bottom w:w="90" w:type="dxa"/>
              <w:left w:w="160" w:type="dxa"/>
              <w:right w:w="140" w:type="dxa"/>
            </w:tcMar>
          </w:tcPr>
          <w:p>
            <w:pPr>
              <w:spacing w:after="60"/>
            </w:pPr>
            <w:r/>
            <w:r>
              <w:rPr>
                <w:rFonts w:ascii="Arial" w:hAnsi="Arial"/>
                <w:b/>
                <w:i w:val="0"/>
                <w:color w:val="006DB6"/>
                <w:sz w:val="21"/>
              </w:rPr>
              <w:t>Why this matters</w:t>
            </w:r>
          </w:p>
          <w:p>
            <w:pPr>
              <w:spacing w:after="40" w:line="283" w:lineRule="auto"/>
            </w:pPr>
            <w:r>
              <w:rPr>
                <w:rFonts w:ascii="Arial" w:hAnsi="Arial"/>
                <w:b w:val="0"/>
                <w:i w:val="0"/>
                <w:color w:val="2D2D2D"/>
                <w:sz w:val="19"/>
              </w:rPr>
              <w:t>An AI-built plan is only as good as its accuracy. Derek’s feedback confirmed the audit got the business right (“I didn’t see anything in here that did not fit who it is we are”) and sharpened two things our cold research under-weighted: the card-network competition (WEX/Voyager) and the government/RFP opportunity. Both are now reflected in the plan.</w:t>
            </w:r>
          </w:p>
        </w:tc>
      </w:tr>
    </w:tbl>
    <w:p>
      <w:pPr>
        <w:spacing w:after="140"/>
      </w:pPr>
    </w:p>
    <w:p>
      <w:pPr>
        <w:pStyle w:val="Heading1"/>
        <w:pageBreakBefore/>
        <w:spacing w:before="0"/>
        <w:pBdr>
          <w:bottom w:val="single" w:sz="12" w:space="3" w:color="F67D4B"/>
        </w:pBdr>
      </w:pPr>
      <w:r>
        <w:rPr>
          <w:rFonts w:ascii="Arial" w:hAnsi="Arial"/>
          <w:b/>
          <w:i w:val="0"/>
          <w:color w:val="006DB6"/>
          <w:sz w:val="30"/>
        </w:rPr>
        <w:t>3.  SC Fuels — Company &amp; Site Architecture</w:t>
      </w:r>
    </w:p>
    <w:p>
      <w:pPr>
        <w:pStyle w:val="Heading2"/>
      </w:pPr>
      <w:r>
        <w:rPr>
          <w:rFonts w:ascii="Arial" w:hAnsi="Arial"/>
          <w:b/>
          <w:i w:val="0"/>
          <w:color w:val="1A1A2E"/>
          <w:sz w:val="25"/>
        </w:rPr>
        <w:t>3.1  Company Profile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4"/>
        <w:gridCol w:w="4824"/>
      </w:tblGrid>
      <w:tr>
        <w:trPr>
          <w:cantSplit w:val="true"/>
        </w:trPr>
        <w:tc>
          <w:tcPr>
            <w:tcW w:type="dxa" w:w="2701"/>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Field</w:t>
            </w:r>
          </w:p>
        </w:tc>
        <w:tc>
          <w:tcPr>
            <w:tcW w:type="dxa" w:w="6947"/>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Detail</w:t>
            </w:r>
          </w:p>
        </w:tc>
      </w:tr>
      <w:tr>
        <w:trPr>
          <w:cantSplit w:val="true"/>
        </w:trPr>
        <w:tc>
          <w:tcPr>
            <w:tcW w:type="dxa" w:w="270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Website</w:t>
            </w:r>
          </w:p>
        </w:tc>
        <w:tc>
          <w:tcPr>
            <w:tcW w:type="dxa" w:w="694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www.scfuels.com</w:t>
            </w:r>
          </w:p>
        </w:tc>
      </w:tr>
      <w:tr>
        <w:trPr>
          <w:cantSplit w:val="true"/>
        </w:trPr>
        <w:tc>
          <w:tcPr>
            <w:tcW w:type="dxa" w:w="270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Headquarters</w:t>
            </w:r>
          </w:p>
        </w:tc>
        <w:tc>
          <w:tcPr>
            <w:tcW w:type="dxa" w:w="694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1800 W Katella Ave #400, Orange, CA 92867</w:t>
            </w:r>
          </w:p>
        </w:tc>
      </w:tr>
      <w:tr>
        <w:trPr>
          <w:cantSplit w:val="true"/>
        </w:trPr>
        <w:tc>
          <w:tcPr>
            <w:tcW w:type="dxa" w:w="270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Parent Company</w:t>
            </w:r>
          </w:p>
        </w:tc>
        <w:tc>
          <w:tcPr>
            <w:tcW w:type="dxa" w:w="694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Pilot Company (acquired 2021). Note: the website still reads “family owned” — outdated.</w:t>
            </w:r>
          </w:p>
        </w:tc>
      </w:tr>
      <w:tr>
        <w:trPr>
          <w:cantSplit w:val="true"/>
        </w:trPr>
        <w:tc>
          <w:tcPr>
            <w:tcW w:type="dxa" w:w="270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Service Territory</w:t>
            </w:r>
          </w:p>
        </w:tc>
        <w:tc>
          <w:tcPr>
            <w:tcW w:type="dxa" w:w="694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15 western states</w:t>
            </w:r>
          </w:p>
        </w:tc>
      </w:tr>
      <w:tr>
        <w:trPr>
          <w:cantSplit w:val="true"/>
        </w:trPr>
        <w:tc>
          <w:tcPr>
            <w:tcW w:type="dxa" w:w="270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Customers</w:t>
            </w:r>
          </w:p>
        </w:tc>
        <w:tc>
          <w:tcPr>
            <w:tcW w:type="dxa" w:w="694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11,000+ commercial and enterprise customers</w:t>
            </w:r>
          </w:p>
        </w:tc>
      </w:tr>
      <w:tr>
        <w:trPr>
          <w:cantSplit w:val="true"/>
        </w:trPr>
        <w:tc>
          <w:tcPr>
            <w:tcW w:type="dxa" w:w="270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Tagline</w:t>
            </w:r>
          </w:p>
        </w:tc>
        <w:tc>
          <w:tcPr>
            <w:tcW w:type="dxa" w:w="694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Your Single Choice for Petroleum Products</w:t>
            </w:r>
          </w:p>
        </w:tc>
      </w:tr>
      <w:tr>
        <w:trPr>
          <w:cantSplit w:val="true"/>
        </w:trPr>
        <w:tc>
          <w:tcPr>
            <w:tcW w:type="dxa" w:w="270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Google Business Profile</w:t>
            </w:r>
          </w:p>
        </w:tc>
        <w:tc>
          <w:tcPr>
            <w:tcW w:type="dxa" w:w="694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Verified — 4.5-star rating — Orange, CA HQ</w:t>
            </w:r>
          </w:p>
        </w:tc>
      </w:tr>
      <w:tr>
        <w:trPr>
          <w:cantSplit w:val="true"/>
        </w:trPr>
        <w:tc>
          <w:tcPr>
            <w:tcW w:type="dxa" w:w="270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Current marketing partner</w:t>
            </w:r>
          </w:p>
        </w:tc>
        <w:tc>
          <w:tcPr>
            <w:tcW w:type="dxa" w:w="694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WebFX (SEO/analytics) + InsightView + FleetSeek → Salesforce CRM</w:t>
            </w:r>
          </w:p>
        </w:tc>
      </w:tr>
    </w:tbl>
    <w:p>
      <w:pPr>
        <w:spacing w:after="120"/>
      </w:pPr>
    </w:p>
    <w:p>
      <w:pPr>
        <w:spacing w:after="120"/>
      </w:pPr>
      <w:r>
        <w:rPr>
          <w:rFonts w:ascii="Arial" w:hAnsi="Arial"/>
          <w:b w:val="0"/>
          <w:i w:val="0"/>
          <w:color w:val="2D2D2D"/>
          <w:sz w:val="21"/>
        </w:rPr>
        <w:t>Derek confirmed the live site is dated (“the website’s really outdated… it still says family owned when it’s actually Pilot owned now”) and that a full rebuild is already budgeted with AI tooling in scope. That makes this the right moment to build the next site AI-ready and GEO-ready from day one, rather than retrofitting later.</w:t>
      </w:r>
    </w:p>
    <w:p>
      <w:pPr>
        <w:pStyle w:val="Heading2"/>
      </w:pPr>
      <w:r>
        <w:rPr>
          <w:rFonts w:ascii="Arial" w:hAnsi="Arial"/>
          <w:b/>
          <w:i w:val="0"/>
          <w:color w:val="1A1A2E"/>
          <w:sz w:val="25"/>
        </w:rPr>
        <w:t>3.2  Core Services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2508"/>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Service Line</w:t>
            </w:r>
          </w:p>
        </w:tc>
        <w:tc>
          <w:tcPr>
            <w:tcW w:type="dxa" w:w="4245"/>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Description</w:t>
            </w:r>
          </w:p>
        </w:tc>
        <w:tc>
          <w:tcPr>
            <w:tcW w:type="dxa" w:w="2894"/>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B2B Value</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Unbranded Wholesale Fuel</w:t>
            </w:r>
          </w:p>
        </w:tc>
        <w:tc>
          <w:tcPr>
            <w:tcW w:type="dxa" w:w="424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Bulk diesel &amp; gasoline delivery to commercial sites</w:t>
            </w:r>
          </w:p>
        </w:tc>
        <w:tc>
          <w:tcPr>
            <w:tcW w:type="dxa" w:w="289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Price-competitive supply</w:t>
            </w:r>
          </w:p>
        </w:tc>
      </w:tr>
      <w:tr>
        <w:trPr>
          <w:cantSplit w:val="true"/>
        </w:trPr>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Onsite Fleet Fueling</w:t>
            </w:r>
          </w:p>
        </w:tc>
        <w:tc>
          <w:tcPr>
            <w:tcW w:type="dxa" w:w="4245"/>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Fuel brought directly to fleet vehicles at depot</w:t>
            </w:r>
          </w:p>
        </w:tc>
        <w:tc>
          <w:tcPr>
            <w:tcW w:type="dxa" w:w="289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Eliminates driver downtime</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Cardlock Fleet Fueling</w:t>
            </w:r>
          </w:p>
        </w:tc>
        <w:tc>
          <w:tcPr>
            <w:tcW w:type="dxa" w:w="424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Proprietary fleet card network, secure access</w:t>
            </w:r>
          </w:p>
        </w:tc>
        <w:tc>
          <w:tcPr>
            <w:tcW w:type="dxa" w:w="289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Purchase controls, IFTA reporting</w:t>
            </w:r>
          </w:p>
        </w:tc>
      </w:tr>
      <w:tr>
        <w:trPr>
          <w:cantSplit w:val="true"/>
        </w:trPr>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Lubricants &amp; DEF</w:t>
            </w:r>
          </w:p>
        </w:tc>
        <w:tc>
          <w:tcPr>
            <w:tcW w:type="dxa" w:w="4245"/>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Engine oils, hydraulic fluids, DEF</w:t>
            </w:r>
          </w:p>
        </w:tc>
        <w:tc>
          <w:tcPr>
            <w:tcW w:type="dxa" w:w="289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Single-supplier consolidation</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Alternative Fuels</w:t>
            </w:r>
          </w:p>
        </w:tc>
        <w:tc>
          <w:tcPr>
            <w:tcW w:type="dxa" w:w="424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CNG, LNG, hydrogen, biodiesel, renewable diesel</w:t>
            </w:r>
          </w:p>
        </w:tc>
        <w:tc>
          <w:tcPr>
            <w:tcW w:type="dxa" w:w="289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Clean-fuel mandate compliance</w:t>
            </w:r>
          </w:p>
        </w:tc>
      </w:tr>
    </w:tbl>
    <w:p>
      <w:pPr>
        <w:spacing w:after="120"/>
      </w:pPr>
    </w:p>
    <w:p>
      <w:pPr>
        <w:pStyle w:val="Heading2"/>
      </w:pPr>
      <w:r>
        <w:rPr>
          <w:rFonts w:ascii="Arial" w:hAnsi="Arial"/>
          <w:b/>
          <w:i w:val="0"/>
          <w:color w:val="1A1A2E"/>
          <w:sz w:val="25"/>
        </w:rPr>
        <w:t>3.3  Site Architecture &amp; the Retention Moat</w:t>
      </w:r>
    </w:p>
    <w:p>
      <w:pPr>
        <w:spacing w:after="120"/>
      </w:pPr>
      <w:r>
        <w:rPr>
          <w:rFonts w:ascii="Arial" w:hAnsi="Arial"/>
          <w:b w:val="0"/>
          <w:i w:val="0"/>
          <w:color w:val="2D2D2D"/>
          <w:sz w:val="21"/>
        </w:rPr>
        <w:t>scfuels.com is a pure B2B acquisition-and-retention engine, and understanding it is essential to every SEO and AI decision:</w:t>
      </w:r>
    </w:p>
    <w:p>
      <w:pPr>
        <w:pStyle w:val="ListBullet"/>
        <w:spacing w:after="60" w:line="283" w:lineRule="auto"/>
      </w:pPr>
      <w:r>
        <w:rPr>
          <w:rFonts w:ascii="Arial" w:hAnsi="Arial"/>
          <w:b/>
          <w:i w:val="0"/>
          <w:color w:val="1A1A2E"/>
          <w:sz w:val="20"/>
        </w:rPr>
        <w:t xml:space="preserve">Dual-purpose funnel.  </w:t>
      </w:r>
      <w:r>
        <w:rPr>
          <w:rFonts w:ascii="Arial" w:hAnsi="Arial"/>
          <w:b w:val="0"/>
          <w:i w:val="0"/>
          <w:color w:val="2D2D2D"/>
          <w:sz w:val="20"/>
        </w:rPr>
        <w:t>New commercial accounts: primary CTAs are credit applications and quote requests — a multi-step, high-touch sales process that can span weeks. Marketing’s job is to get the right fleet manager or procurement officer into that funnel.</w:t>
      </w:r>
    </w:p>
    <w:p>
      <w:pPr>
        <w:pStyle w:val="ListBullet"/>
        <w:spacing w:after="60" w:line="283" w:lineRule="auto"/>
      </w:pPr>
      <w:r>
        <w:rPr>
          <w:rFonts w:ascii="Arial" w:hAnsi="Arial"/>
          <w:b/>
          <w:i w:val="0"/>
          <w:color w:val="1A1A2E"/>
          <w:sz w:val="20"/>
        </w:rPr>
        <w:t xml:space="preserve">The portal is a moat.  </w:t>
      </w:r>
      <w:r>
        <w:rPr>
          <w:rFonts w:ascii="Arial" w:hAnsi="Arial"/>
          <w:b w:val="0"/>
          <w:i w:val="0"/>
          <w:color w:val="2D2D2D"/>
          <w:sz w:val="20"/>
        </w:rPr>
        <w:t>Fleet Card, Lubricant and Wholesale portals embed SC Fuels into the customer’s daily workflow — MPG tracking, per-driver controls, IFTA exports. A fleet manager who runs compliance through your portal does not switch over a marginally cheaper gallon. Every portal feature deepens the switching cost.</w:t>
      </w:r>
    </w:p>
    <w:p>
      <w:pPr>
        <w:pStyle w:val="ListBullet"/>
        <w:spacing w:after="60" w:line="283" w:lineRule="auto"/>
      </w:pPr>
      <w:r>
        <w:rPr>
          <w:rFonts w:ascii="Arial" w:hAnsi="Arial"/>
          <w:b/>
          <w:i w:val="0"/>
          <w:color w:val="1A1A2E"/>
          <w:sz w:val="20"/>
        </w:rPr>
        <w:t xml:space="preserve">Localized SEO need.  </w:t>
      </w:r>
      <w:r>
        <w:rPr>
          <w:rFonts w:ascii="Arial" w:hAnsi="Arial"/>
          <w:b w:val="0"/>
          <w:i w:val="0"/>
          <w:color w:val="2D2D2D"/>
          <w:sz w:val="20"/>
        </w:rPr>
        <w:t>Across 15 states, the site must capture both national intent (“bulk diesel delivery”) and local intent (“onsite fleet fueling Los Angeles”). Dedicated service-area pages are a clear opportunity.</w:t>
      </w:r>
    </w:p>
    <w:p>
      <w:pPr>
        <w:pStyle w:val="Heading1"/>
        <w:pageBreakBefore/>
        <w:spacing w:before="0"/>
        <w:pBdr>
          <w:bottom w:val="single" w:sz="12" w:space="3" w:color="F67D4B"/>
        </w:pBdr>
      </w:pPr>
      <w:r>
        <w:rPr>
          <w:rFonts w:ascii="Arial" w:hAnsi="Arial"/>
          <w:b/>
          <w:i w:val="0"/>
          <w:color w:val="006DB6"/>
          <w:sz w:val="30"/>
        </w:rPr>
        <w:t>4.  The Marketing Landscape Today — WebFX, and Where AI Extends It</w:t>
      </w:r>
    </w:p>
    <w:p>
      <w:pPr>
        <w:spacing w:after="120"/>
      </w:pPr>
      <w:r>
        <w:rPr>
          <w:rFonts w:ascii="Arial" w:hAnsi="Arial"/>
          <w:b w:val="0"/>
          <w:i w:val="0"/>
          <w:color w:val="2D2D2D"/>
          <w:sz w:val="21"/>
        </w:rPr>
        <w:t>Derek asked us to look honestly at WebFX — what they do well, where the gaps are, and how Technijian is different. This section does exactly that. The short version: WebFX is a capable SEO and analytics partner, and nothing here suggests ripping that out. What WebFX does not do is the AI-driven outbound, AI search, and internal-AI work that Derek’s goals actually require — and that is precisely where Technijian adds value.</w:t>
      </w:r>
    </w:p>
    <w:p>
      <w:pPr>
        <w:pStyle w:val="Heading2"/>
      </w:pPr>
      <w:r>
        <w:rPr>
          <w:rFonts w:ascii="Arial" w:hAnsi="Arial"/>
          <w:b/>
          <w:i w:val="0"/>
          <w:color w:val="1A1A2E"/>
          <w:sz w:val="25"/>
        </w:rPr>
        <w:t>4.1  WebFX — Agency Profile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4"/>
        <w:gridCol w:w="4824"/>
      </w:tblGrid>
      <w:tr>
        <w:trPr>
          <w:cantSplit w:val="true"/>
        </w:trPr>
        <w:tc>
          <w:tcPr>
            <w:tcW w:type="dxa" w:w="2508"/>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Field</w:t>
            </w:r>
          </w:p>
        </w:tc>
        <w:tc>
          <w:tcPr>
            <w:tcW w:type="dxa" w:w="7140"/>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Detail</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Headquarters</w:t>
            </w:r>
          </w:p>
        </w:tc>
        <w:tc>
          <w:tcPr>
            <w:tcW w:type="dxa" w:w="714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Harrisburg, Pennsylvania (multiple US offices)</w:t>
            </w:r>
          </w:p>
        </w:tc>
      </w:tr>
      <w:tr>
        <w:trPr>
          <w:cantSplit w:val="true"/>
        </w:trPr>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Founded / Size</w:t>
            </w:r>
          </w:p>
        </w:tc>
        <w:tc>
          <w:tcPr>
            <w:tcW w:type="dxa" w:w="714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1996 · 500+ digital marketing specialists</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Reputation</w:t>
            </w:r>
          </w:p>
        </w:tc>
        <w:tc>
          <w:tcPr>
            <w:tcW w:type="dxa" w:w="714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Clutch 4.9/5 · Google Premier Partner</w:t>
            </w:r>
          </w:p>
        </w:tc>
      </w:tr>
      <w:tr>
        <w:trPr>
          <w:cantSplit w:val="true"/>
        </w:trPr>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Core Services</w:t>
            </w:r>
          </w:p>
        </w:tc>
        <w:tc>
          <w:tcPr>
            <w:tcW w:type="dxa" w:w="714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SEO, PPC/paid media, content, web design, social, email, CRO</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Proprietary Tech</w:t>
            </w:r>
          </w:p>
        </w:tc>
        <w:tc>
          <w:tcPr>
            <w:tcW w:type="dxa" w:w="714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MarketingCloudFX (lead-lifecycle attribution) + CRM integrations</w:t>
            </w:r>
          </w:p>
        </w:tc>
      </w:tr>
      <w:tr>
        <w:trPr>
          <w:cantSplit w:val="true"/>
        </w:trPr>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Published Pricing</w:t>
            </w:r>
          </w:p>
        </w:tc>
        <w:tc>
          <w:tcPr>
            <w:tcW w:type="dxa" w:w="714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SEO from ~$2,500/mo · core services $3,000+/mo minimum · enterprise $10K–$50K+/mo</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Contract Terms</w:t>
            </w:r>
          </w:p>
        </w:tc>
        <w:tc>
          <w:tcPr>
            <w:tcW w:type="dxa" w:w="714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Typically 6–12 month initial terms + one-time setup fees (per public pricing guides)</w:t>
            </w:r>
          </w:p>
        </w:tc>
      </w:tr>
    </w:tbl>
    <w:p>
      <w:pPr>
        <w:spacing w:after="120"/>
      </w:pPr>
    </w:p>
    <w:p>
      <w:pPr>
        <w:pStyle w:val="Heading2"/>
      </w:pPr>
      <w:r>
        <w:rPr>
          <w:rFonts w:ascii="Arial" w:hAnsi="Arial"/>
          <w:b/>
          <w:i w:val="0"/>
          <w:color w:val="1A1A2E"/>
          <w:sz w:val="25"/>
        </w:rPr>
        <w:t>4.2  What WebFX does well (keep it)</w:t>
      </w:r>
    </w:p>
    <w:p>
      <w:pPr>
        <w:pStyle w:val="ListBullet"/>
        <w:spacing w:after="60" w:line="283" w:lineRule="auto"/>
      </w:pPr>
      <w:r>
        <w:rPr>
          <w:rFonts w:ascii="Arial" w:hAnsi="Arial"/>
          <w:b/>
          <w:i w:val="0"/>
          <w:color w:val="1A1A2E"/>
          <w:sz w:val="20"/>
        </w:rPr>
        <w:t xml:space="preserve">Search &amp; content authority.  </w:t>
      </w:r>
      <w:r>
        <w:rPr>
          <w:rFonts w:ascii="Arial" w:hAnsi="Arial"/>
          <w:b w:val="0"/>
          <w:i w:val="0"/>
          <w:color w:val="2D2D2D"/>
          <w:sz w:val="20"/>
        </w:rPr>
        <w:t>Dominating organic rankings for specific, high-intent commercial keywords — their core competency, and exactly what converts a 60% branded dependency into real acquisition.</w:t>
      </w:r>
    </w:p>
    <w:p>
      <w:pPr>
        <w:pStyle w:val="ListBullet"/>
        <w:spacing w:after="60" w:line="283" w:lineRule="auto"/>
      </w:pPr>
      <w:r>
        <w:rPr>
          <w:rFonts w:ascii="Arial" w:hAnsi="Arial"/>
          <w:b/>
          <w:i w:val="0"/>
          <w:color w:val="1A1A2E"/>
          <w:sz w:val="20"/>
        </w:rPr>
        <w:t xml:space="preserve">Closed-loop attribution.  </w:t>
      </w:r>
      <w:r>
        <w:rPr>
          <w:rFonts w:ascii="Arial" w:hAnsi="Arial"/>
          <w:b w:val="0"/>
          <w:i w:val="0"/>
          <w:color w:val="2D2D2D"/>
          <w:sz w:val="20"/>
        </w:rPr>
        <w:t>MarketingCloudFX traces a credit application back to the keyword and content that produced it, and ties campaigns to signed contracts — critical for justifying spend in a 3–6 month B2B sales cycle.</w:t>
      </w:r>
    </w:p>
    <w:p>
      <w:pPr>
        <w:pStyle w:val="ListBullet"/>
        <w:spacing w:after="60" w:line="283" w:lineRule="auto"/>
      </w:pPr>
      <w:r>
        <w:rPr>
          <w:rFonts w:ascii="Arial" w:hAnsi="Arial"/>
          <w:b/>
          <w:i w:val="0"/>
          <w:color w:val="1A1A2E"/>
          <w:sz w:val="20"/>
        </w:rPr>
        <w:t xml:space="preserve">High-LTV specialization.  </w:t>
      </w:r>
      <w:r>
        <w:rPr>
          <w:rFonts w:ascii="Arial" w:hAnsi="Arial"/>
          <w:b w:val="0"/>
          <w:i w:val="0"/>
          <w:color w:val="2D2D2D"/>
          <w:sz w:val="20"/>
        </w:rPr>
        <w:t>Their model fits high-LTV B2B: you don’t need cheap clicks, you need to own the handful of terms a procurement director searches before a six-figure contract.</w:t>
      </w:r>
    </w:p>
    <w:p>
      <w:pPr>
        <w:pStyle w:val="Heading2"/>
      </w:pPr>
      <w:r>
        <w:rPr>
          <w:rFonts w:ascii="Arial" w:hAnsi="Arial"/>
          <w:b/>
          <w:i w:val="0"/>
          <w:color w:val="1A1A2E"/>
          <w:sz w:val="25"/>
        </w:rPr>
        <w:t>4.3  Where the gaps are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4"/>
        <w:gridCol w:w="4824"/>
      </w:tblGrid>
      <w:tr>
        <w:trPr>
          <w:cantSplit w:val="true"/>
        </w:trPr>
        <w:tc>
          <w:tcPr>
            <w:tcW w:type="dxa" w:w="2894"/>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Gap</w:t>
            </w:r>
          </w:p>
        </w:tc>
        <w:tc>
          <w:tcPr>
            <w:tcW w:type="dxa" w:w="6754"/>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What it means for SC Fuels</w:t>
            </w:r>
          </w:p>
        </w:tc>
      </w:tr>
      <w:tr>
        <w:trPr>
          <w:cantSplit w:val="true"/>
        </w:trPr>
        <w:tc>
          <w:tcPr>
            <w:tcW w:type="dxa" w:w="289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No AI-driven outbound</w:t>
            </w:r>
          </w:p>
        </w:tc>
        <w:tc>
          <w:tcPr>
            <w:tcW w:type="dxa" w:w="675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WebFX is an inbound/SEO shop. It does not run AI prospecting, ICP scoring, or RFP auto-drafting — the outbound Derek wants.</w:t>
            </w:r>
          </w:p>
        </w:tc>
      </w:tr>
      <w:tr>
        <w:trPr>
          <w:cantSplit w:val="true"/>
        </w:trPr>
        <w:tc>
          <w:tcPr>
            <w:tcW w:type="dxa" w:w="289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GEO / AI-search is nascent</w:t>
            </w:r>
          </w:p>
        </w:tc>
        <w:tc>
          <w:tcPr>
            <w:tcW w:type="dxa" w:w="675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Like most traditional SEO agencies, AI-search optimization (llms.txt, AI-citation content) is still emerging for them. SC Fuels’ GEO grade is F today.</w:t>
            </w:r>
          </w:p>
        </w:tc>
      </w:tr>
      <w:tr>
        <w:trPr>
          <w:cantSplit w:val="true"/>
        </w:trPr>
        <w:tc>
          <w:tcPr>
            <w:tcW w:type="dxa" w:w="289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Niche-B2B content</w:t>
            </w:r>
          </w:p>
        </w:tc>
        <w:tc>
          <w:tcPr>
            <w:tcW w:type="dxa" w:w="675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Public reviews note WebFX writers can lack deep expertise in specialized industries — fuel/energy content often needs heavy client editing.</w:t>
            </w:r>
          </w:p>
        </w:tc>
      </w:tr>
      <w:tr>
        <w:trPr>
          <w:cantSplit w:val="true"/>
        </w:trPr>
        <w:tc>
          <w:tcPr>
            <w:tcW w:type="dxa" w:w="289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Social effectiveness</w:t>
            </w:r>
          </w:p>
        </w:tc>
        <w:tc>
          <w:tcPr>
            <w:tcW w:type="dxa" w:w="675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Derek’s own read: “WebFX also does some of that [social]. I don’t know that they’re doing it very effectively.”</w:t>
            </w:r>
          </w:p>
        </w:tc>
      </w:tr>
      <w:tr>
        <w:trPr>
          <w:cantSplit w:val="true"/>
        </w:trPr>
        <w:tc>
          <w:tcPr>
            <w:tcW w:type="dxa" w:w="289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No internal-AI / CRM automation</w:t>
            </w:r>
          </w:p>
        </w:tc>
        <w:tc>
          <w:tcPr>
            <w:tcW w:type="dxa" w:w="675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Salesforce opportunity progression, the credit process, and FleetSeek/InsightView orchestration are simply outside an SEO agency’s scope.</w:t>
            </w:r>
          </w:p>
        </w:tc>
      </w:tr>
      <w:tr>
        <w:trPr>
          <w:cantSplit w:val="true"/>
        </w:trPr>
        <w:tc>
          <w:tcPr>
            <w:tcW w:type="dxa" w:w="289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Cost + lock-in</w:t>
            </w:r>
          </w:p>
        </w:tc>
        <w:tc>
          <w:tcPr>
            <w:tcW w:type="dxa" w:w="675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Enterprise engagements run $10K–$50K+/mo on 6–12 month terms; reporting can overwhelm. Worth confirming what you pay today vs. the value you receive.</w:t>
            </w:r>
          </w:p>
        </w:tc>
      </w:tr>
    </w:tbl>
    <w:p>
      <w:pPr>
        <w:spacing w:after="120"/>
      </w:pPr>
    </w:p>
    <w:tbl>
      <w:tblPr>
        <w:tblW w:type="auto" w:w="0"/>
        <w:jc w:val="center"/>
        <w:tblLook w:firstColumn="1" w:firstRow="1" w:lastColumn="0" w:lastRow="0" w:noHBand="0" w:noVBand="1" w:val="04A0"/>
      </w:tblPr>
      <w:tblGrid>
        <w:gridCol w:w="9648"/>
      </w:tblGrid>
      <w:tr>
        <w:trPr>
          <w:cantSplit w:val="true"/>
        </w:trPr>
        <w:tc>
          <w:tcPr>
            <w:tcW w:type="dxa" w:w="9648"/>
            <w:shd w:val="clear" w:color="auto" w:fill="F4F6F8"/>
            <w:tcBorders>
              <w:top w:val="single" w:sz="4" w:space="0" w:color="E9ECEF"/>
              <w:bottom w:val="single" w:sz="4" w:space="0" w:color="E9ECEF"/>
              <w:right w:val="single" w:sz="4" w:space="0" w:color="E9ECEF"/>
              <w:left w:val="single" w:sz="28" w:space="0" w:color="1EAAC8"/>
            </w:tcBorders>
            <w:tcMar>
              <w:top w:w="90" w:type="dxa"/>
              <w:bottom w:w="90" w:type="dxa"/>
              <w:left w:w="160" w:type="dxa"/>
              <w:right w:w="140" w:type="dxa"/>
            </w:tcMar>
          </w:tcPr>
          <w:p>
            <w:pPr>
              <w:spacing w:after="60"/>
            </w:pPr>
            <w:r/>
            <w:r>
              <w:rPr>
                <w:rFonts w:ascii="Arial" w:hAnsi="Arial"/>
                <w:b/>
                <w:i w:val="0"/>
                <w:color w:val="1EAAC8"/>
                <w:sz w:val="21"/>
              </w:rPr>
              <w:t>The honest framing</w:t>
            </w:r>
          </w:p>
          <w:p>
            <w:pPr>
              <w:spacing w:after="40" w:line="283" w:lineRule="auto"/>
            </w:pPr>
            <w:r>
              <w:rPr>
                <w:rFonts w:ascii="Arial" w:hAnsi="Arial"/>
                <w:b w:val="0"/>
                <w:i w:val="0"/>
                <w:color w:val="2D2D2D"/>
                <w:sz w:val="19"/>
              </w:rPr>
              <w:t>This is not a case for firing WebFX. It is a case for adding the AI layer they do not provide — outbound lead gen, AI search, and internal automation — and, separately, for confirming what you pay WebFX today so you can decide later whether to consolidate. We model that economics in Section 15 using published rates only; we have not assumed your actual WebFX spend.</w:t>
            </w:r>
          </w:p>
        </w:tc>
      </w:tr>
    </w:tbl>
    <w:p>
      <w:pPr>
        <w:spacing w:after="140"/>
      </w:pPr>
    </w:p>
    <w:p>
      <w:pPr>
        <w:pStyle w:val="Heading1"/>
        <w:pageBreakBefore/>
        <w:spacing w:before="0"/>
        <w:pBdr>
          <w:bottom w:val="single" w:sz="12" w:space="3" w:color="F67D4B"/>
        </w:pBdr>
      </w:pPr>
      <w:r>
        <w:rPr>
          <w:rFonts w:ascii="Arial" w:hAnsi="Arial"/>
          <w:b/>
          <w:i w:val="0"/>
          <w:color w:val="006DB6"/>
          <w:sz w:val="30"/>
        </w:rPr>
        <w:t>5.  Organic Search Performance</w:t>
      </w:r>
    </w:p>
    <w:p>
      <w:pPr>
        <w:pStyle w:val="Heading2"/>
      </w:pPr>
      <w:r>
        <w:rPr>
          <w:rFonts w:ascii="Arial" w:hAnsi="Arial"/>
          <w:b/>
          <w:i w:val="0"/>
          <w:color w:val="1A1A2E"/>
          <w:sz w:val="25"/>
        </w:rPr>
        <w:t>5.1  Traffic Summary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4"/>
        <w:gridCol w:w="4824"/>
      </w:tblGrid>
      <w:tr>
        <w:trPr>
          <w:cantSplit w:val="true"/>
        </w:trPr>
        <w:tc>
          <w:tcPr>
            <w:tcW w:type="dxa" w:w="3280"/>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Metric</w:t>
            </w:r>
          </w:p>
        </w:tc>
        <w:tc>
          <w:tcPr>
            <w:tcW w:type="dxa" w:w="6368"/>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Value</w:t>
            </w:r>
          </w:p>
        </w:tc>
      </w:tr>
      <w:tr>
        <w:trPr>
          <w:cantSplit w:val="true"/>
        </w:trPr>
        <w:tc>
          <w:tcPr>
            <w:tcW w:type="dxa" w:w="328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Monthly Organic Traffic</w:t>
            </w:r>
          </w:p>
        </w:tc>
        <w:tc>
          <w:tcPr>
            <w:tcW w:type="dxa" w:w="636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~23,500 estimated visits (Semrush)</w:t>
            </w:r>
          </w:p>
        </w:tc>
      </w:tr>
      <w:tr>
        <w:trPr>
          <w:cantSplit w:val="true"/>
        </w:trPr>
        <w:tc>
          <w:tcPr>
            <w:tcW w:type="dxa" w:w="328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Semrush Domain Rank</w:t>
            </w:r>
          </w:p>
        </w:tc>
        <w:tc>
          <w:tcPr>
            <w:tcW w:type="dxa" w:w="636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80,300 (lower is better)</w:t>
            </w:r>
          </w:p>
        </w:tc>
      </w:tr>
      <w:tr>
        <w:trPr>
          <w:cantSplit w:val="true"/>
        </w:trPr>
        <w:tc>
          <w:tcPr>
            <w:tcW w:type="dxa" w:w="328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Total Ranking Keywords</w:t>
            </w:r>
          </w:p>
        </w:tc>
        <w:tc>
          <w:tcPr>
            <w:tcW w:type="dxa" w:w="636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13,100+</w:t>
            </w:r>
          </w:p>
        </w:tc>
      </w:tr>
      <w:tr>
        <w:trPr>
          <w:cantSplit w:val="true"/>
        </w:trPr>
        <w:tc>
          <w:tcPr>
            <w:tcW w:type="dxa" w:w="328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Est. Monthly Traffic Value</w:t>
            </w:r>
          </w:p>
        </w:tc>
        <w:tc>
          <w:tcPr>
            <w:tcW w:type="dxa" w:w="636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$36,900</w:t>
            </w:r>
          </w:p>
        </w:tc>
      </w:tr>
      <w:tr>
        <w:trPr>
          <w:cantSplit w:val="true"/>
        </w:trPr>
        <w:tc>
          <w:tcPr>
            <w:tcW w:type="dxa" w:w="328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Branded Traffic Share</w:t>
            </w:r>
          </w:p>
        </w:tc>
        <w:tc>
          <w:tcPr>
            <w:tcW w:type="dxa" w:w="636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60.06% — strong recognition, but fragile dependency</w:t>
            </w:r>
          </w:p>
        </w:tc>
      </w:tr>
      <w:tr>
        <w:trPr>
          <w:cantSplit w:val="true"/>
        </w:trPr>
        <w:tc>
          <w:tcPr>
            <w:tcW w:type="dxa" w:w="328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Non-Branded Share</w:t>
            </w:r>
          </w:p>
        </w:tc>
        <w:tc>
          <w:tcPr>
            <w:tcW w:type="dxa" w:w="636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39.94% — the genuine acquisition channel</w:t>
            </w:r>
          </w:p>
        </w:tc>
      </w:tr>
      <w:tr>
        <w:trPr>
          <w:cantSplit w:val="true"/>
        </w:trPr>
        <w:tc>
          <w:tcPr>
            <w:tcW w:type="dxa" w:w="328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Primary Market</w:t>
            </w:r>
          </w:p>
        </w:tc>
        <w:tc>
          <w:tcPr>
            <w:tcW w:type="dxa" w:w="636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United States (76% of keywords); Canada ~4.4%</w:t>
            </w:r>
          </w:p>
        </w:tc>
      </w:tr>
    </w:tbl>
    <w:p>
      <w:pPr>
        <w:spacing w:after="120"/>
      </w:pPr>
    </w:p>
    <w:p>
      <w:pPr>
        <w:pStyle w:val="Heading2"/>
      </w:pPr>
      <w:r>
        <w:rPr>
          <w:rFonts w:ascii="Arial" w:hAnsi="Arial"/>
          <w:b/>
          <w:i w:val="0"/>
          <w:color w:val="1A1A2E"/>
          <w:sz w:val="25"/>
        </w:rPr>
        <w:t>5.2  Top Organic Keywords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5017"/>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Keyword</w:t>
            </w:r>
          </w:p>
        </w:tc>
        <w:tc>
          <w:tcPr>
            <w:tcW w:type="dxa" w:w="212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Position</w:t>
            </w:r>
          </w:p>
        </w:tc>
        <w:tc>
          <w:tcPr>
            <w:tcW w:type="dxa" w:w="2508"/>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Monthly Volume</w:t>
            </w:r>
          </w:p>
        </w:tc>
      </w:tr>
      <w:tr>
        <w:trPr>
          <w:cantSplit w:val="true"/>
        </w:trPr>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sc fuels</w:t>
            </w:r>
          </w:p>
        </w:tc>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w:t>
            </w:r>
          </w:p>
        </w:tc>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9,900</w:t>
            </w:r>
          </w:p>
        </w:tc>
      </w:tr>
      <w:tr>
        <w:trPr>
          <w:cantSplit w:val="true"/>
        </w:trPr>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sc fuels near me</w:t>
            </w:r>
          </w:p>
        </w:tc>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Top 3</w:t>
            </w:r>
          </w:p>
        </w:tc>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3,600</w:t>
            </w:r>
          </w:p>
        </w:tc>
      </w:tr>
      <w:tr>
        <w:trPr>
          <w:cantSplit w:val="true"/>
        </w:trPr>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diesel fuel suppliers near me</w:t>
            </w:r>
          </w:p>
        </w:tc>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#2</w:t>
            </w:r>
          </w:p>
        </w:tc>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18,100</w:t>
            </w:r>
          </w:p>
        </w:tc>
      </w:tr>
      <w:tr>
        <w:trPr>
          <w:cantSplit w:val="true"/>
        </w:trPr>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diesel fuel distributors near me</w:t>
            </w:r>
          </w:p>
        </w:tc>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#3</w:t>
            </w:r>
          </w:p>
        </w:tc>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18,100</w:t>
            </w:r>
          </w:p>
        </w:tc>
      </w:tr>
      <w:tr>
        <w:trPr>
          <w:cantSplit w:val="true"/>
        </w:trPr>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sci def</w:t>
            </w:r>
          </w:p>
        </w:tc>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#4</w:t>
            </w:r>
          </w:p>
        </w:tc>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33,100</w:t>
            </w:r>
          </w:p>
        </w:tc>
      </w:tr>
      <w:tr>
        <w:trPr>
          <w:cantSplit w:val="true"/>
        </w:trPr>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sc gas</w:t>
            </w:r>
          </w:p>
        </w:tc>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#10</w:t>
            </w:r>
          </w:p>
        </w:tc>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135,000</w:t>
            </w:r>
          </w:p>
        </w:tc>
      </w:tr>
    </w:tbl>
    <w:p>
      <w:pPr>
        <w:spacing w:after="120"/>
      </w:pPr>
    </w:p>
    <w:p>
      <w:pPr>
        <w:spacing w:after="120"/>
      </w:pPr>
      <w:r>
        <w:rPr>
          <w:rFonts w:ascii="Arial" w:hAnsi="Arial"/>
          <w:b w:val="0"/>
          <w:i w:val="0"/>
          <w:color w:val="2D2D2D"/>
          <w:sz w:val="21"/>
        </w:rPr>
        <w:t>Ranking #2–#3 for “diesel fuel suppliers near me” and related terms (18,100 searches/mo) is a real commercial asset. Pushing these to #1 — and widening the footprint of similar commercial terms — is the highest-priority organic growth lever, and a natural place for AI-accelerated content to help.</w:t>
      </w:r>
    </w:p>
    <w:p>
      <w:pPr>
        <w:pStyle w:val="Heading2"/>
      </w:pPr>
      <w:r>
        <w:rPr>
          <w:rFonts w:ascii="Arial" w:hAnsi="Arial"/>
          <w:b/>
          <w:i w:val="0"/>
          <w:color w:val="1A1A2E"/>
          <w:sz w:val="25"/>
        </w:rPr>
        <w:t>5.3  Position Distribution — the biggest single lever</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3280"/>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Position Range</w:t>
            </w:r>
          </w:p>
        </w:tc>
        <w:tc>
          <w:tcPr>
            <w:tcW w:type="dxa" w:w="1737"/>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Keywords</w:t>
            </w:r>
          </w:p>
        </w:tc>
        <w:tc>
          <w:tcPr>
            <w:tcW w:type="dxa" w:w="4631"/>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Implication</w:t>
            </w:r>
          </w:p>
        </w:tc>
      </w:tr>
      <w:tr>
        <w:trPr>
          <w:cantSplit w:val="true"/>
        </w:trPr>
        <w:tc>
          <w:tcPr>
            <w:tcW w:type="dxa" w:w="328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1–3 (top SERP)</w:t>
            </w:r>
          </w:p>
        </w:tc>
        <w:tc>
          <w:tcPr>
            <w:tcW w:type="dxa" w:w="173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333</w:t>
            </w:r>
          </w:p>
        </w:tc>
        <w:tc>
          <w:tcPr>
            <w:tcW w:type="dxa" w:w="463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Protect with freshness + links</w:t>
            </w:r>
          </w:p>
        </w:tc>
      </w:tr>
      <w:tr>
        <w:trPr>
          <w:cantSplit w:val="true"/>
        </w:trPr>
        <w:tc>
          <w:tcPr>
            <w:tcW w:type="dxa" w:w="328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4–10 (page 1)</w:t>
            </w:r>
          </w:p>
        </w:tc>
        <w:tc>
          <w:tcPr>
            <w:tcW w:type="dxa" w:w="173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774</w:t>
            </w:r>
          </w:p>
        </w:tc>
        <w:tc>
          <w:tcPr>
            <w:tcW w:type="dxa" w:w="463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Quick wins — small gains drive real traffic</w:t>
            </w:r>
          </w:p>
        </w:tc>
      </w:tr>
      <w:tr>
        <w:trPr>
          <w:cantSplit w:val="true"/>
        </w:trPr>
        <w:tc>
          <w:tcPr>
            <w:tcW w:type="dxa" w:w="328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11–20 (page 2)</w:t>
            </w:r>
          </w:p>
        </w:tc>
        <w:tc>
          <w:tcPr>
            <w:tcW w:type="dxa" w:w="173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1,100</w:t>
            </w:r>
          </w:p>
        </w:tc>
        <w:tc>
          <w:tcPr>
            <w:tcW w:type="dxa" w:w="463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Active optimization target</w:t>
            </w:r>
          </w:p>
        </w:tc>
      </w:tr>
      <w:tr>
        <w:trPr>
          <w:cantSplit w:val="true"/>
        </w:trPr>
        <w:tc>
          <w:tcPr>
            <w:tcW w:type="dxa" w:w="328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21–50</w:t>
            </w:r>
          </w:p>
        </w:tc>
        <w:tc>
          <w:tcPr>
            <w:tcW w:type="dxa" w:w="173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4,700</w:t>
            </w:r>
          </w:p>
        </w:tc>
        <w:tc>
          <w:tcPr>
            <w:tcW w:type="dxa" w:w="463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Content depth + internal linking</w:t>
            </w:r>
          </w:p>
        </w:tc>
      </w:tr>
      <w:tr>
        <w:trPr>
          <w:cantSplit w:val="true"/>
        </w:trPr>
        <w:tc>
          <w:tcPr>
            <w:tcW w:type="dxa" w:w="328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51–100 (invisible)</w:t>
            </w:r>
          </w:p>
        </w:tc>
        <w:tc>
          <w:tcPr>
            <w:tcW w:type="dxa" w:w="173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5,400</w:t>
            </w:r>
          </w:p>
        </w:tc>
        <w:tc>
          <w:tcPr>
            <w:tcW w:type="dxa" w:w="463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Largest untapped opportunity</w:t>
            </w:r>
          </w:p>
        </w:tc>
      </w:tr>
    </w:tbl>
    <w:p>
      <w:pPr>
        <w:spacing w:after="120"/>
      </w:pPr>
    </w:p>
    <w:p>
      <w:pPr>
        <w:spacing w:after="120"/>
      </w:pPr>
      <w:r>
        <w:rPr>
          <w:rFonts w:ascii="Arial" w:hAnsi="Arial"/>
          <w:b w:val="0"/>
          <w:i w:val="0"/>
          <w:color w:val="2D2D2D"/>
          <w:sz w:val="21"/>
        </w:rPr>
        <w:t>The 5,400 keywords sitting in positions 51–100 are the single biggest lever. Moving even 500 of them into the top 20 with targeted content could add 5,000–10,000 monthly visits — the kind of volume that an AI content factory (Section 13, Pillar 1) is purpose-built to produce at scale.</w:t>
      </w:r>
    </w:p>
    <w:p>
      <w:pPr>
        <w:pStyle w:val="Heading1"/>
        <w:pageBreakBefore/>
        <w:spacing w:before="0"/>
        <w:pBdr>
          <w:bottom w:val="single" w:sz="12" w:space="3" w:color="F67D4B"/>
        </w:pBdr>
      </w:pPr>
      <w:r>
        <w:rPr>
          <w:rFonts w:ascii="Arial" w:hAnsi="Arial"/>
          <w:b/>
          <w:i w:val="0"/>
          <w:color w:val="006DB6"/>
          <w:sz w:val="30"/>
        </w:rPr>
        <w:t>6.  Paid Search (PPC) — A Critical Underinvestment</w:t>
      </w:r>
    </w:p>
    <w:p>
      <w:pPr>
        <w:spacing w:after="120"/>
      </w:pPr>
      <w:r>
        <w:rPr>
          <w:rFonts w:ascii="Arial" w:hAnsi="Arial"/>
          <w:b w:val="0"/>
          <w:i w:val="0"/>
          <w:color w:val="2D2D2D"/>
          <w:sz w:val="21"/>
        </w:rPr>
        <w:t>This is the most immediately actionable gap in the audit. SC Fuels runs ~215 paid visits/mo on just 2 keywords (both brand variants) — defensively appropriate, but absent from the commercial non-branded terms where new-customer acquisition actually happens.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4"/>
        <w:gridCol w:w="4824"/>
      </w:tblGrid>
      <w:tr>
        <w:trPr>
          <w:cantSplit w:val="true"/>
        </w:trPr>
        <w:tc>
          <w:tcPr>
            <w:tcW w:type="dxa" w:w="347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Metric</w:t>
            </w:r>
          </w:p>
        </w:tc>
        <w:tc>
          <w:tcPr>
            <w:tcW w:type="dxa" w:w="6175"/>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Value</w:t>
            </w:r>
          </w:p>
        </w:tc>
      </w:tr>
      <w:tr>
        <w:trPr>
          <w:cantSplit w:val="true"/>
        </w:trPr>
        <w:tc>
          <w:tcPr>
            <w:tcW w:type="dxa" w:w="347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Monthly Paid Traffic</w:t>
            </w:r>
          </w:p>
        </w:tc>
        <w:tc>
          <w:tcPr>
            <w:tcW w:type="dxa" w:w="617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215 visits</w:t>
            </w:r>
          </w:p>
        </w:tc>
      </w:tr>
      <w:tr>
        <w:trPr>
          <w:cantSplit w:val="true"/>
        </w:trPr>
        <w:tc>
          <w:tcPr>
            <w:tcW w:type="dxa" w:w="347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Active Paid Keywords</w:t>
            </w:r>
          </w:p>
        </w:tc>
        <w:tc>
          <w:tcPr>
            <w:tcW w:type="dxa" w:w="6175"/>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2 (both variants of “sc fuels near me”)</w:t>
            </w:r>
          </w:p>
        </w:tc>
      </w:tr>
      <w:tr>
        <w:trPr>
          <w:cantSplit w:val="true"/>
        </w:trPr>
        <w:tc>
          <w:tcPr>
            <w:tcW w:type="dxa" w:w="347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Est. Monthly Paid Spend</w:t>
            </w:r>
          </w:p>
        </w:tc>
        <w:tc>
          <w:tcPr>
            <w:tcW w:type="dxa" w:w="617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~$31 (per Semrush — minimal)</w:t>
            </w:r>
          </w:p>
        </w:tc>
      </w:tr>
      <w:tr>
        <w:trPr>
          <w:cantSplit w:val="true"/>
        </w:trPr>
        <w:tc>
          <w:tcPr>
            <w:tcW w:type="dxa" w:w="347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Active Competitor (PPC)</w:t>
            </w:r>
          </w:p>
        </w:tc>
        <w:tc>
          <w:tcPr>
            <w:tcW w:type="dxa" w:w="6175"/>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fuellogic.net — 195 paid keywords</w:t>
            </w:r>
          </w:p>
        </w:tc>
      </w:tr>
      <w:tr>
        <w:trPr>
          <w:cantSplit w:val="true"/>
        </w:trPr>
        <w:tc>
          <w:tcPr>
            <w:tcW w:type="dxa" w:w="347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Ad Quality</w:t>
            </w:r>
          </w:p>
        </w:tc>
        <w:tc>
          <w:tcPr>
            <w:tcW w:type="dxa" w:w="617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Both ads Top 3 — good execution, wrong scale</w:t>
            </w:r>
          </w:p>
        </w:tc>
      </w:tr>
    </w:tbl>
    <w:p>
      <w:pPr>
        <w:spacing w:after="120"/>
      </w:pPr>
    </w:p>
    <w:p>
      <w:pPr>
        <w:spacing w:after="120"/>
      </w:pPr>
      <w:r>
        <w:rPr>
          <w:rFonts w:ascii="Arial" w:hAnsi="Arial"/>
          <w:b w:val="0"/>
          <w:i w:val="0"/>
          <w:color w:val="2D2D2D"/>
          <w:sz w:val="21"/>
        </w:rPr>
        <w:t>Given the 15-state footprint and the LTV of a fleet account, a disciplined paid program targeting commercial terms (“commercial diesel delivery [city]”, “fleet fueling company”, “wholesale diesel supplier”) could realistically produce qualified enterprise leads at a cost-per-lead well inside an acceptable CAC for accounts worth $100K+ annually. Technijian’s My SEO program includes paid-ads management (Google + Meta) — this can run alongside or in place of WebFX’s PPC.</w:t>
      </w:r>
    </w:p>
    <w:p>
      <w:pPr>
        <w:pStyle w:val="Heading1"/>
        <w:pageBreakBefore/>
        <w:spacing w:before="0"/>
        <w:pBdr>
          <w:bottom w:val="single" w:sz="12" w:space="3" w:color="F67D4B"/>
        </w:pBdr>
      </w:pPr>
      <w:r>
        <w:rPr>
          <w:rFonts w:ascii="Arial" w:hAnsi="Arial"/>
          <w:b/>
          <w:i w:val="0"/>
          <w:color w:val="006DB6"/>
          <w:sz w:val="30"/>
        </w:rPr>
        <w:t>7.  Backlink Profile &amp; Domain Authority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4"/>
        <w:gridCol w:w="4824"/>
      </w:tblGrid>
      <w:tr>
        <w:trPr>
          <w:cantSplit w:val="true"/>
        </w:trPr>
        <w:tc>
          <w:tcPr>
            <w:tcW w:type="dxa" w:w="347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Metric</w:t>
            </w:r>
          </w:p>
        </w:tc>
        <w:tc>
          <w:tcPr>
            <w:tcW w:type="dxa" w:w="6175"/>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Value</w:t>
            </w:r>
          </w:p>
        </w:tc>
      </w:tr>
      <w:tr>
        <w:trPr>
          <w:cantSplit w:val="true"/>
        </w:trPr>
        <w:tc>
          <w:tcPr>
            <w:tcW w:type="dxa" w:w="347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Total Backlinks</w:t>
            </w:r>
          </w:p>
        </w:tc>
        <w:tc>
          <w:tcPr>
            <w:tcW w:type="dxa" w:w="617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5,100</w:t>
            </w:r>
          </w:p>
        </w:tc>
      </w:tr>
      <w:tr>
        <w:trPr>
          <w:cantSplit w:val="true"/>
        </w:trPr>
        <w:tc>
          <w:tcPr>
            <w:tcW w:type="dxa" w:w="347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Referring Domains</w:t>
            </w:r>
          </w:p>
        </w:tc>
        <w:tc>
          <w:tcPr>
            <w:tcW w:type="dxa" w:w="6175"/>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986 unique domains</w:t>
            </w:r>
          </w:p>
        </w:tc>
      </w:tr>
      <w:tr>
        <w:trPr>
          <w:cantSplit w:val="true"/>
        </w:trPr>
        <w:tc>
          <w:tcPr>
            <w:tcW w:type="dxa" w:w="347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Follow Links</w:t>
            </w:r>
          </w:p>
        </w:tc>
        <w:tc>
          <w:tcPr>
            <w:tcW w:type="dxa" w:w="617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2,900 (57.5%) — pass ranking authority</w:t>
            </w:r>
          </w:p>
        </w:tc>
      </w:tr>
      <w:tr>
        <w:trPr>
          <w:cantSplit w:val="true"/>
        </w:trPr>
        <w:tc>
          <w:tcPr>
            <w:tcW w:type="dxa" w:w="347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Empty-Anchor Links</w:t>
            </w:r>
          </w:p>
        </w:tc>
        <w:tc>
          <w:tcPr>
            <w:tcW w:type="dxa" w:w="6175"/>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31% (1,452 links) — missed keyword signal</w:t>
            </w:r>
          </w:p>
        </w:tc>
      </w:tr>
      <w:tr>
        <w:trPr>
          <w:cantSplit w:val="true"/>
        </w:trPr>
        <w:tc>
          <w:tcPr>
            <w:tcW w:type="dxa" w:w="347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Top Referring Domain</w:t>
            </w:r>
          </w:p>
        </w:tc>
        <w:tc>
          <w:tcPr>
            <w:tcW w:type="dxa" w:w="617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downsenergy.com (1,352) — acquired-brand link equity</w:t>
            </w:r>
          </w:p>
        </w:tc>
      </w:tr>
    </w:tbl>
    <w:p>
      <w:pPr>
        <w:spacing w:after="120"/>
      </w:pPr>
    </w:p>
    <w:p>
      <w:pPr>
        <w:spacing w:after="120"/>
      </w:pPr>
      <w:r>
        <w:rPr>
          <w:rFonts w:ascii="Arial" w:hAnsi="Arial"/>
          <w:b w:val="0"/>
          <w:i w:val="0"/>
          <w:color w:val="2D2D2D"/>
          <w:sz w:val="21"/>
        </w:rPr>
        <w:t>A healthy base. Two opportunities: (1) a link-building outreach program that earns descriptive, keyword-rich anchors (“commercial fuel delivery California”) rather than bare URLs; and (2) confirm 301 redirects consolidate all http:// and non-www variants into https://www.scfuels.com/ so link equity isn’t split. Technijian’s My SEO add-ons (Content Syndication, PR Releases) build authority links systematically.</w:t>
      </w:r>
    </w:p>
    <w:p>
      <w:pPr>
        <w:pStyle w:val="Heading1"/>
        <w:pageBreakBefore/>
        <w:spacing w:before="0"/>
        <w:pBdr>
          <w:bottom w:val="single" w:sz="12" w:space="3" w:color="F67D4B"/>
        </w:pBdr>
      </w:pPr>
      <w:r>
        <w:rPr>
          <w:rFonts w:ascii="Arial" w:hAnsi="Arial"/>
          <w:b/>
          <w:i w:val="0"/>
          <w:color w:val="006DB6"/>
          <w:sz w:val="30"/>
        </w:rPr>
        <w:t>8.  Competitive Landscape</w:t>
      </w:r>
    </w:p>
    <w:p>
      <w:pPr>
        <w:pStyle w:val="Heading2"/>
      </w:pPr>
      <w:r>
        <w:rPr>
          <w:rFonts w:ascii="Arial" w:hAnsi="Arial"/>
          <w:b/>
          <w:i w:val="0"/>
          <w:color w:val="1A1A2E"/>
          <w:sz w:val="25"/>
        </w:rPr>
        <w:t>8.1  Organic Competitors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2894"/>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Competitor</w:t>
            </w:r>
          </w:p>
        </w:tc>
        <w:tc>
          <w:tcPr>
            <w:tcW w:type="dxa" w:w="3666"/>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Shared / SE Keywords</w:t>
            </w:r>
          </w:p>
        </w:tc>
        <w:tc>
          <w:tcPr>
            <w:tcW w:type="dxa" w:w="3087"/>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Level</w:t>
            </w:r>
          </w:p>
        </w:tc>
      </w:tr>
      <w:tr>
        <w:trPr>
          <w:cantSplit w:val="true"/>
        </w:trPr>
        <w:tc>
          <w:tcPr>
            <w:tcW w:type="dxa" w:w="289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gosenergy.com</w:t>
            </w:r>
          </w:p>
        </w:tc>
        <w:tc>
          <w:tcPr>
            <w:tcW w:type="dxa" w:w="366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494 shared / 8,300 SE</w:t>
            </w:r>
          </w:p>
        </w:tc>
        <w:tc>
          <w:tcPr>
            <w:tcW w:type="dxa" w:w="308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Strongest organic rival</w:t>
            </w:r>
          </w:p>
        </w:tc>
      </w:tr>
      <w:tr>
        <w:trPr>
          <w:cantSplit w:val="true"/>
        </w:trPr>
        <w:tc>
          <w:tcPr>
            <w:tcW w:type="dxa" w:w="289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ricochetfuel.com</w:t>
            </w:r>
          </w:p>
        </w:tc>
        <w:tc>
          <w:tcPr>
            <w:tcW w:type="dxa" w:w="366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326 shared / 5,800 SE</w:t>
            </w:r>
          </w:p>
        </w:tc>
        <w:tc>
          <w:tcPr>
            <w:tcW w:type="dxa" w:w="308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Strong in fuel delivery</w:t>
            </w:r>
          </w:p>
        </w:tc>
      </w:tr>
      <w:tr>
        <w:trPr>
          <w:cantSplit w:val="true"/>
        </w:trPr>
        <w:tc>
          <w:tcPr>
            <w:tcW w:type="dxa" w:w="289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dieseldirect.com</w:t>
            </w:r>
          </w:p>
        </w:tc>
        <w:tc>
          <w:tcPr>
            <w:tcW w:type="dxa" w:w="366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266 shared / 2,800 SE</w:t>
            </w:r>
          </w:p>
        </w:tc>
        <w:tc>
          <w:tcPr>
            <w:tcW w:type="dxa" w:w="308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Diesel specialist</w:t>
            </w:r>
          </w:p>
        </w:tc>
      </w:tr>
      <w:tr>
        <w:trPr>
          <w:cantSplit w:val="true"/>
        </w:trPr>
        <w:tc>
          <w:tcPr>
            <w:tcW w:type="dxa" w:w="289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boosterusa.com</w:t>
            </w:r>
          </w:p>
        </w:tc>
        <w:tc>
          <w:tcPr>
            <w:tcW w:type="dxa" w:w="366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229 shared / 2,500 SE</w:t>
            </w:r>
          </w:p>
        </w:tc>
        <w:tc>
          <w:tcPr>
            <w:tcW w:type="dxa" w:w="308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Mobile-fueling, digital-native</w:t>
            </w:r>
          </w:p>
        </w:tc>
      </w:tr>
      <w:tr>
        <w:trPr>
          <w:cantSplit w:val="true"/>
        </w:trPr>
        <w:tc>
          <w:tcPr>
            <w:tcW w:type="dxa" w:w="289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walthall-oil.com</w:t>
            </w:r>
          </w:p>
        </w:tc>
        <w:tc>
          <w:tcPr>
            <w:tcW w:type="dxa" w:w="366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205 shared / 2,200 SE</w:t>
            </w:r>
          </w:p>
        </w:tc>
        <w:tc>
          <w:tcPr>
            <w:tcW w:type="dxa" w:w="308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Regional operator</w:t>
            </w:r>
          </w:p>
        </w:tc>
      </w:tr>
    </w:tbl>
    <w:p>
      <w:pPr>
        <w:spacing w:after="120"/>
      </w:pPr>
    </w:p>
    <w:p>
      <w:pPr>
        <w:spacing w:after="120"/>
      </w:pPr>
      <w:r>
        <w:rPr>
          <w:rFonts w:ascii="Arial" w:hAnsi="Arial"/>
          <w:b w:val="0"/>
          <w:i w:val="0"/>
          <w:color w:val="2D2D2D"/>
          <w:sz w:val="21"/>
        </w:rPr>
        <w:t>SC Fuels holds the dominant keyword footprint and the highest organic traffic in this group. That lead should be defended and extended with consistent content and link acquisition — the area an AI content engine accelerates most.</w:t>
      </w:r>
    </w:p>
    <w:p>
      <w:pPr>
        <w:pStyle w:val="Heading2"/>
      </w:pPr>
      <w:r>
        <w:rPr>
          <w:rFonts w:ascii="Arial" w:hAnsi="Arial"/>
          <w:b/>
          <w:i w:val="0"/>
          <w:color w:val="1A1A2E"/>
          <w:sz w:val="25"/>
        </w:rPr>
        <w:t>8.2  The competitive lens Derek added — card networks</w:t>
      </w:r>
    </w:p>
    <w:tbl>
      <w:tblPr>
        <w:tblW w:type="auto" w:w="0"/>
        <w:jc w:val="center"/>
        <w:tblLook w:firstColumn="1" w:firstRow="1" w:lastColumn="0" w:lastRow="0" w:noHBand="0" w:noVBand="1" w:val="04A0"/>
      </w:tblPr>
      <w:tblGrid>
        <w:gridCol w:w="9648"/>
      </w:tblGrid>
      <w:tr>
        <w:trPr>
          <w:cantSplit w:val="true"/>
        </w:trPr>
        <w:tc>
          <w:tcPr>
            <w:tcW w:type="dxa" w:w="9648"/>
            <w:shd w:val="clear" w:color="auto" w:fill="F4F6F8"/>
            <w:tcBorders>
              <w:top w:val="single" w:sz="4" w:space="0" w:color="E9ECEF"/>
              <w:bottom w:val="single" w:sz="4" w:space="0" w:color="E9ECEF"/>
              <w:right w:val="single" w:sz="4" w:space="0" w:color="E9ECEF"/>
              <w:left w:val="single" w:sz="28" w:space="0" w:color="F67D4B"/>
            </w:tcBorders>
            <w:tcMar>
              <w:top w:w="90" w:type="dxa"/>
              <w:bottom w:w="90" w:type="dxa"/>
              <w:left w:w="160" w:type="dxa"/>
              <w:right w:w="140" w:type="dxa"/>
            </w:tcMar>
          </w:tcPr>
          <w:p>
            <w:pPr>
              <w:spacing w:after="60"/>
            </w:pPr>
            <w:r/>
            <w:r>
              <w:rPr>
                <w:rFonts w:ascii="Arial" w:hAnsi="Arial"/>
                <w:b/>
                <w:i w:val="0"/>
                <w:color w:val="F67D4B"/>
                <w:sz w:val="21"/>
              </w:rPr>
              <w:t>WEX and Voyager are competitors too</w:t>
            </w:r>
          </w:p>
          <w:p>
            <w:pPr>
              <w:spacing w:after="40" w:line="283" w:lineRule="auto"/>
            </w:pPr>
            <w:r>
              <w:rPr>
                <w:rFonts w:ascii="Arial" w:hAnsi="Arial"/>
                <w:b w:val="0"/>
                <w:i w:val="0"/>
                <w:color w:val="2D2D2D"/>
                <w:sz w:val="19"/>
              </w:rPr>
              <w:t>Derek’s point on June 2: “We compete against other SC Fuels-type companies, and we compete against the networks — WEX or Voyager. Even though we offer co-branded Voyager cards, we still compete against them for larger-volume customers.”</w:t>
            </w:r>
          </w:p>
          <w:p>
            <w:pPr>
              <w:spacing w:after="40" w:line="283" w:lineRule="auto"/>
            </w:pPr>
            <w:r>
              <w:rPr>
                <w:rFonts w:ascii="Arial" w:hAnsi="Arial"/>
                <w:b/>
                <w:i w:val="0"/>
                <w:color w:val="1A1A2E"/>
                <w:sz w:val="19"/>
              </w:rPr>
              <w:t xml:space="preserve">Implication.  </w:t>
            </w:r>
            <w:r>
              <w:rPr>
                <w:rFonts w:ascii="Arial" w:hAnsi="Arial"/>
                <w:b w:val="0"/>
                <w:i w:val="0"/>
                <w:color w:val="2D2D2D"/>
                <w:sz w:val="19"/>
              </w:rPr>
              <w:t>The real battleground is not only other distributors — it is the fuel-card networks courting your highest-volume fleets. Content and outbound should speak to why a managed SC Fuels relationship (local delivery, cardlock + onsite + lubricants + DEF under one roof, IFTA tooling) beats a pure card network for a serious fleet.</w:t>
            </w:r>
          </w:p>
        </w:tc>
      </w:tr>
    </w:tbl>
    <w:p>
      <w:pPr>
        <w:spacing w:after="140"/>
      </w:pPr>
    </w:p>
    <w:p>
      <w:pPr>
        <w:pStyle w:val="Heading2"/>
      </w:pPr>
      <w:r>
        <w:rPr>
          <w:rFonts w:ascii="Arial" w:hAnsi="Arial"/>
          <w:b/>
          <w:i w:val="0"/>
          <w:color w:val="1A1A2E"/>
          <w:sz w:val="25"/>
        </w:rPr>
        <w:t>8.3  AI Overview Presence — already real, under-optimized</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4824"/>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Keyword (AI Overview)</w:t>
            </w:r>
          </w:p>
        </w:tc>
        <w:tc>
          <w:tcPr>
            <w:tcW w:type="dxa" w:w="2316"/>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Position</w:t>
            </w:r>
          </w:p>
        </w:tc>
        <w:tc>
          <w:tcPr>
            <w:tcW w:type="dxa" w:w="2508"/>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Est. Visits/mo</w:t>
            </w:r>
          </w:p>
        </w:tc>
      </w:tr>
      <w:tr>
        <w:trPr>
          <w:cantSplit w:val="true"/>
        </w:trPr>
        <w:tc>
          <w:tcPr>
            <w:tcW w:type="dxa" w:w="482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diesel supplier</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Position 2</w:t>
            </w:r>
          </w:p>
        </w:tc>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1,604</w:t>
            </w:r>
          </w:p>
        </w:tc>
      </w:tr>
      <w:tr>
        <w:trPr>
          <w:cantSplit w:val="true"/>
        </w:trPr>
        <w:tc>
          <w:tcPr>
            <w:tcW w:type="dxa" w:w="482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delivering fuel</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Position 1</w:t>
            </w:r>
          </w:p>
        </w:tc>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1,094</w:t>
            </w:r>
          </w:p>
        </w:tc>
      </w:tr>
      <w:tr>
        <w:trPr>
          <w:cantSplit w:val="true"/>
        </w:trPr>
        <w:tc>
          <w:tcPr>
            <w:tcW w:type="dxa" w:w="482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diesel fuel distributors near me</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Position 5</w:t>
            </w:r>
          </w:p>
        </w:tc>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849</w:t>
            </w:r>
          </w:p>
        </w:tc>
      </w:tr>
      <w:tr>
        <w:trPr>
          <w:cantSplit w:val="true"/>
        </w:trPr>
        <w:tc>
          <w:tcPr>
            <w:tcW w:type="dxa" w:w="482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commercial fuel</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Position 1</w:t>
            </w:r>
          </w:p>
        </w:tc>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64</w:t>
            </w:r>
          </w:p>
        </w:tc>
      </w:tr>
    </w:tbl>
    <w:p>
      <w:pPr>
        <w:spacing w:after="120"/>
      </w:pPr>
    </w:p>
    <w:p>
      <w:pPr>
        <w:spacing w:after="120"/>
      </w:pPr>
      <w:r>
        <w:rPr>
          <w:rFonts w:ascii="Arial" w:hAnsi="Arial"/>
          <w:b w:val="0"/>
          <w:i w:val="0"/>
          <w:color w:val="2D2D2D"/>
          <w:sz w:val="21"/>
        </w:rPr>
        <w:t>SC Fuels already receives ~4,600 monthly visits from Google AI Overviews — with a GEO grade of F. Proper AI-search optimization could multiply that several times over. Whoever fixes GEO first locks in citation positions that are hard to displace later.</w:t>
      </w:r>
    </w:p>
    <w:p>
      <w:pPr>
        <w:pStyle w:val="Heading1"/>
        <w:pageBreakBefore/>
        <w:spacing w:before="0"/>
        <w:pBdr>
          <w:bottom w:val="single" w:sz="12" w:space="3" w:color="F67D4B"/>
        </w:pBdr>
      </w:pPr>
      <w:r>
        <w:rPr>
          <w:rFonts w:ascii="Arial" w:hAnsi="Arial"/>
          <w:b/>
          <w:i w:val="0"/>
          <w:color w:val="006DB6"/>
          <w:sz w:val="30"/>
        </w:rPr>
        <w:t>9.  Technical SEO &amp; On-Page Audit</w:t>
      </w:r>
    </w:p>
    <w:p>
      <w:pPr>
        <w:pStyle w:val="Heading2"/>
      </w:pPr>
      <w:r>
        <w:rPr>
          <w:rFonts w:ascii="Arial" w:hAnsi="Arial"/>
          <w:b/>
          <w:i w:val="0"/>
          <w:color w:val="1A1A2E"/>
          <w:sz w:val="25"/>
        </w:rPr>
        <w:t>9.1  On-Page SEO — Grade A</w:t>
      </w:r>
    </w:p>
    <w:p>
      <w:pPr>
        <w:spacing w:after="120"/>
      </w:pPr>
      <w:r>
        <w:rPr>
          <w:rFonts w:ascii="Arial" w:hAnsi="Arial"/>
          <w:b w:val="0"/>
          <w:i w:val="0"/>
          <w:color w:val="2D2D2D"/>
          <w:sz w:val="21"/>
        </w:rPr>
        <w:t>Core on-page elements are well implemented (Yoast configured, good title/meta, valid canonical, SSL). The notable exceptions below are quick, high-value fixes.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2701"/>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Check</w:t>
            </w:r>
          </w:p>
        </w:tc>
        <w:tc>
          <w:tcPr>
            <w:tcW w:type="dxa" w:w="1544"/>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Status</w:t>
            </w:r>
          </w:p>
        </w:tc>
        <w:tc>
          <w:tcPr>
            <w:tcW w:type="dxa" w:w="540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Finding / Recommendation</w:t>
            </w:r>
          </w:p>
        </w:tc>
      </w:tr>
      <w:tr>
        <w:trPr>
          <w:cantSplit w:val="true"/>
        </w:trPr>
        <w:tc>
          <w:tcPr>
            <w:tcW w:type="dxa" w:w="270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Title / Meta / Canonical</w:t>
            </w:r>
          </w:p>
        </w:tc>
        <w:tc>
          <w:tcPr>
            <w:tcW w:type="dxa" w:w="1544"/>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PASS</w:t>
            </w:r>
          </w:p>
        </w:tc>
        <w:tc>
          <w:tcPr>
            <w:tcW w:type="dxa" w:w="540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Within optimal ranges; canonical set correctly</w:t>
            </w:r>
          </w:p>
        </w:tc>
      </w:tr>
      <w:tr>
        <w:trPr>
          <w:cantSplit w:val="true"/>
        </w:trPr>
        <w:tc>
          <w:tcPr>
            <w:tcW w:type="dxa" w:w="270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Single H1</w:t>
            </w:r>
          </w:p>
        </w:tc>
        <w:tc>
          <w:tcPr>
            <w:tcW w:type="dxa" w:w="1544"/>
            <w:shd w:val="clear" w:color="auto" w:fill="C777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WARN</w:t>
            </w:r>
          </w:p>
        </w:tc>
        <w:tc>
          <w:tcPr>
            <w:tcW w:type="dxa" w:w="540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Two H1 tags on homepage — standardize to one</w:t>
            </w:r>
          </w:p>
        </w:tc>
      </w:tr>
      <w:tr>
        <w:trPr>
          <w:cantSplit w:val="true"/>
        </w:trPr>
        <w:tc>
          <w:tcPr>
            <w:tcW w:type="dxa" w:w="270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Image Alt Text</w:t>
            </w:r>
          </w:p>
        </w:tc>
        <w:tc>
          <w:tcPr>
            <w:tcW w:type="dxa" w:w="1544"/>
            <w:shd w:val="clear" w:color="auto" w:fill="C777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WARN</w:t>
            </w:r>
          </w:p>
        </w:tc>
        <w:tc>
          <w:tcPr>
            <w:tcW w:type="dxa" w:w="540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4 of 19 images missing alt attributes — simple fix</w:t>
            </w:r>
          </w:p>
        </w:tc>
      </w:tr>
      <w:tr>
        <w:trPr>
          <w:cantSplit w:val="true"/>
        </w:trPr>
        <w:tc>
          <w:tcPr>
            <w:tcW w:type="dxa" w:w="270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Local Business Schema</w:t>
            </w:r>
          </w:p>
        </w:tc>
        <w:tc>
          <w:tcPr>
            <w:tcW w:type="dxa" w:w="1544"/>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CRITICAL</w:t>
            </w:r>
          </w:p>
        </w:tc>
        <w:tc>
          <w:tcPr>
            <w:tcW w:type="dxa" w:w="540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No Local Business schema on homepage — major local-SEO gap</w:t>
            </w:r>
          </w:p>
        </w:tc>
      </w:tr>
      <w:tr>
        <w:trPr>
          <w:cantSplit w:val="true"/>
        </w:trPr>
        <w:tc>
          <w:tcPr>
            <w:tcW w:type="dxa" w:w="270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Address in static HTML</w:t>
            </w:r>
          </w:p>
        </w:tc>
        <w:tc>
          <w:tcPr>
            <w:tcW w:type="dxa" w:w="1544"/>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CRITICAL</w:t>
            </w:r>
          </w:p>
        </w:tc>
        <w:tc>
          <w:tcPr>
            <w:tcW w:type="dxa" w:w="540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Phone shown, but address not in static HTML — NAP failure</w:t>
            </w:r>
          </w:p>
        </w:tc>
      </w:tr>
      <w:tr>
        <w:trPr>
          <w:cantSplit w:val="true"/>
        </w:trPr>
        <w:tc>
          <w:tcPr>
            <w:tcW w:type="dxa" w:w="270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Plain-text email exposed</w:t>
            </w:r>
          </w:p>
        </w:tc>
        <w:tc>
          <w:tcPr>
            <w:tcW w:type="dxa" w:w="1544"/>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FAIL</w:t>
            </w:r>
          </w:p>
        </w:tc>
        <w:tc>
          <w:tcPr>
            <w:tcW w:type="dxa" w:w="540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info@scfuels.com in raw HTML — replace with form</w:t>
            </w:r>
          </w:p>
        </w:tc>
      </w:tr>
      <w:tr>
        <w:trPr>
          <w:cantSplit w:val="true"/>
        </w:trPr>
        <w:tc>
          <w:tcPr>
            <w:tcW w:type="dxa" w:w="270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SPF email record</w:t>
            </w:r>
          </w:p>
        </w:tc>
        <w:tc>
          <w:tcPr>
            <w:tcW w:type="dxa" w:w="1544"/>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FAIL</w:t>
            </w:r>
          </w:p>
        </w:tc>
        <w:tc>
          <w:tcPr>
            <w:tcW w:type="dxa" w:w="540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No SPF DNS record — spoofing &amp; deliverability risk</w:t>
            </w:r>
          </w:p>
        </w:tc>
      </w:tr>
      <w:tr>
        <w:trPr>
          <w:cantSplit w:val="true"/>
        </w:trPr>
        <w:tc>
          <w:tcPr>
            <w:tcW w:type="dxa" w:w="270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HTTP/2</w:t>
            </w:r>
          </w:p>
        </w:tc>
        <w:tc>
          <w:tcPr>
            <w:tcW w:type="dxa" w:w="1544"/>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FAIL</w:t>
            </w:r>
          </w:p>
        </w:tc>
        <w:tc>
          <w:tcPr>
            <w:tcW w:type="dxa" w:w="540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Serving on HTTP/1 — Nginx supports HTTP/2; config change</w:t>
            </w:r>
          </w:p>
        </w:tc>
      </w:tr>
      <w:tr>
        <w:trPr>
          <w:cantSplit w:val="true"/>
        </w:trPr>
        <w:tc>
          <w:tcPr>
            <w:tcW w:type="dxa" w:w="270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GBP</w:t>
            </w:r>
          </w:p>
        </w:tc>
        <w:tc>
          <w:tcPr>
            <w:tcW w:type="dxa" w:w="1544"/>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PASS</w:t>
            </w:r>
          </w:p>
        </w:tc>
        <w:tc>
          <w:tcPr>
            <w:tcW w:type="dxa" w:w="540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Verified, 4.5-star rating — Orange CA HQ</w:t>
            </w:r>
          </w:p>
        </w:tc>
      </w:tr>
      <w:tr>
        <w:trPr>
          <w:cantSplit w:val="true"/>
        </w:trPr>
        <w:tc>
          <w:tcPr>
            <w:tcW w:type="dxa" w:w="270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YouTube channel</w:t>
            </w:r>
          </w:p>
        </w:tc>
        <w:tc>
          <w:tcPr>
            <w:tcW w:type="dxa" w:w="1544"/>
            <w:shd w:val="clear" w:color="auto" w:fill="C777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WARN</w:t>
            </w:r>
          </w:p>
        </w:tc>
        <w:tc>
          <w:tcPr>
            <w:tcW w:type="dxa" w:w="540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Linked but 4 subscribers / 526 views — underutilized</w:t>
            </w:r>
          </w:p>
        </w:tc>
      </w:tr>
    </w:tbl>
    <w:p>
      <w:pPr>
        <w:spacing w:after="120"/>
      </w:pPr>
    </w:p>
    <w:p>
      <w:pPr>
        <w:pStyle w:val="Heading1"/>
        <w:pageBreakBefore/>
        <w:spacing w:before="0"/>
        <w:pBdr>
          <w:bottom w:val="single" w:sz="12" w:space="3" w:color="F67D4B"/>
        </w:pBdr>
      </w:pPr>
      <w:r>
        <w:rPr>
          <w:rFonts w:ascii="Arial" w:hAnsi="Arial"/>
          <w:b/>
          <w:i w:val="0"/>
          <w:color w:val="006DB6"/>
          <w:sz w:val="30"/>
        </w:rPr>
        <w:t>10.  Generative Engine Optimization (GEO) — Grade F</w:t>
      </w:r>
    </w:p>
    <w:p>
      <w:pPr>
        <w:spacing w:after="120"/>
      </w:pPr>
      <w:r>
        <w:rPr>
          <w:rFonts w:ascii="Arial" w:hAnsi="Arial"/>
          <w:b w:val="0"/>
          <w:i w:val="0"/>
          <w:color w:val="2D2D2D"/>
          <w:sz w:val="21"/>
        </w:rPr>
        <w:t>GEO is the practice of making sure LLMs and AI search (Google AI Overviews, ChatGPT, Perplexity, Copilot, Gemini) can read, understand and cite your content. In 2026 this is an active traffic channel, not a future one — and it is the single area where Technijian’s AI work is most differentiated.</w:t>
      </w:r>
    </w:p>
    <w:p>
      <w:pPr>
        <w:pStyle w:val="Heading2"/>
      </w:pPr>
      <w:r>
        <w:rPr>
          <w:rFonts w:ascii="Arial" w:hAnsi="Arial"/>
          <w:b/>
          <w:i w:val="0"/>
          <w:color w:val="1A1A2E"/>
          <w:sz w:val="25"/>
        </w:rPr>
        <w:t>10.1  Why this is urgent for SC Fuels specifically</w:t>
      </w:r>
    </w:p>
    <w:p>
      <w:pPr>
        <w:spacing w:after="120"/>
      </w:pPr>
      <w:r>
        <w:rPr>
          <w:rFonts w:ascii="Arial" w:hAnsi="Arial"/>
          <w:b w:val="0"/>
          <w:i w:val="0"/>
          <w:color w:val="2D2D2D"/>
          <w:sz w:val="21"/>
        </w:rPr>
        <w:t>Your ideal buyer — a fleet manager, operations director, or procurement officer — increasingly asks an AI assistant “what should I look for in a commercial fuel supplier?” or “who are the best bulk diesel companies in the western US?” before engaging anyone. If your content isn’t readable by the model, you are invisible in that answer. Derek named exactly this — the younger buyer who starts with AI and social, not a phone call.</w:t>
      </w:r>
    </w:p>
    <w:p>
      <w:pPr>
        <w:pStyle w:val="Heading2"/>
      </w:pPr>
      <w:r>
        <w:rPr>
          <w:rFonts w:ascii="Arial" w:hAnsi="Arial"/>
          <w:b/>
          <w:i w:val="0"/>
          <w:color w:val="1A1A2E"/>
          <w:sz w:val="25"/>
        </w:rPr>
        <w:t>10.2  GEO Failure Analysis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2508"/>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Check</w:t>
            </w:r>
          </w:p>
        </w:tc>
        <w:tc>
          <w:tcPr>
            <w:tcW w:type="dxa" w:w="1544"/>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Status</w:t>
            </w:r>
          </w:p>
        </w:tc>
        <w:tc>
          <w:tcPr>
            <w:tcW w:type="dxa" w:w="5596"/>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Finding</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Dynamic rendering (89%)</w:t>
            </w:r>
          </w:p>
        </w:tc>
        <w:tc>
          <w:tcPr>
            <w:tcW w:type="dxa" w:w="1544"/>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CRITICAL</w:t>
            </w:r>
          </w:p>
        </w:tc>
        <w:tc>
          <w:tcPr>
            <w:tcW w:type="dxa" w:w="559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89% of page content is JS-rendered — LLMs read raw HTML and miss it</w:t>
            </w:r>
          </w:p>
        </w:tc>
      </w:tr>
      <w:tr>
        <w:trPr>
          <w:cantSplit w:val="true"/>
        </w:trPr>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llms.txt file</w:t>
            </w:r>
          </w:p>
        </w:tc>
        <w:tc>
          <w:tcPr>
            <w:tcW w:type="dxa" w:w="1544"/>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CRITICAL</w:t>
            </w:r>
          </w:p>
        </w:tc>
        <w:tc>
          <w:tcPr>
            <w:tcW w:type="dxa" w:w="559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No /llms.txt — the standard guidance file for AI crawlers is absent</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Static service content</w:t>
            </w:r>
          </w:p>
        </w:tc>
        <w:tc>
          <w:tcPr>
            <w:tcW w:type="dxa" w:w="1544"/>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CRITICAL</w:t>
            </w:r>
          </w:p>
        </w:tc>
        <w:tc>
          <w:tcPr>
            <w:tcW w:type="dxa" w:w="559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Core service copy &amp; CTAs are JS-injected — invisible to AI crawlers</w:t>
            </w:r>
          </w:p>
        </w:tc>
      </w:tr>
      <w:tr>
        <w:trPr>
          <w:cantSplit w:val="true"/>
        </w:trPr>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FAQ schema</w:t>
            </w:r>
          </w:p>
        </w:tc>
        <w:tc>
          <w:tcPr>
            <w:tcW w:type="dxa" w:w="1544"/>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FAIL</w:t>
            </w:r>
          </w:p>
        </w:tc>
        <w:tc>
          <w:tcPr>
            <w:tcW w:type="dxa" w:w="559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No FAQ-structured content — heavily cited by AI Overviews</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Entity clarity</w:t>
            </w:r>
          </w:p>
        </w:tc>
        <w:tc>
          <w:tcPr>
            <w:tcW w:type="dxa" w:w="1544"/>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FAIL</w:t>
            </w:r>
          </w:p>
        </w:tc>
        <w:tc>
          <w:tcPr>
            <w:tcW w:type="dxa" w:w="559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Company entity not explicitly structured for AI comprehension</w:t>
            </w:r>
          </w:p>
        </w:tc>
      </w:tr>
      <w:tr>
        <w:trPr>
          <w:cantSplit w:val="true"/>
        </w:trPr>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Authority content</w:t>
            </w:r>
          </w:p>
        </w:tc>
        <w:tc>
          <w:tcPr>
            <w:tcW w:type="dxa" w:w="1544"/>
            <w:shd w:val="clear" w:color="auto" w:fill="C777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WARN</w:t>
            </w:r>
          </w:p>
        </w:tc>
        <w:tc>
          <w:tcPr>
            <w:tcW w:type="dxa" w:w="559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Limited long-form on fleet/IFTA/DEF — the topics LLMs cite</w:t>
            </w:r>
          </w:p>
        </w:tc>
      </w:tr>
    </w:tbl>
    <w:p>
      <w:pPr>
        <w:spacing w:after="120"/>
      </w:pPr>
    </w:p>
    <w:p>
      <w:pPr>
        <w:spacing w:after="120"/>
      </w:pPr>
      <w:r>
        <w:rPr>
          <w:rFonts w:ascii="Arial" w:hAnsi="Arial"/>
          <w:b w:val="0"/>
          <w:i w:val="0"/>
          <w:color w:val="2D2D2D"/>
          <w:sz w:val="21"/>
        </w:rPr>
        <w:t>The remediation — llms.txt, static-HTML migration of business-critical copy, FAQ schema, and an authority-content program — is detailed in Section 13, Pillar 1, and is core to the budgeted website rebuild Derek described.</w:t>
      </w:r>
    </w:p>
    <w:p>
      <w:pPr>
        <w:spacing w:after="120"/>
      </w:pPr>
    </w:p>
    <w:p>
      <w:pPr>
        <w:pStyle w:val="Heading2"/>
      </w:pPr>
      <w:r>
        <w:rPr>
          <w:rFonts w:ascii="Arial" w:hAnsi="Arial"/>
          <w:b/>
          <w:i w:val="0"/>
          <w:color w:val="1A1A2E"/>
          <w:sz w:val="25"/>
        </w:rPr>
        <w:t>10.3  AI Search Reality Check</w:t>
      </w:r>
    </w:p>
    <w:p>
      <w:pPr>
        <w:spacing w:after="120"/>
      </w:pPr>
      <w:r>
        <w:rPr>
          <w:rFonts w:ascii="Arial" w:hAnsi="Arial"/>
          <w:b w:val="0"/>
          <w:i w:val="0"/>
          <w:color w:val="2D2D2D"/>
          <w:sz w:val="21"/>
        </w:rPr>
        <w:t>Here is the gap made concrete — illustrative of how AI search resolves a high-intent query in your space right now:</w:t>
      </w:r>
    </w:p>
    <w:tbl>
      <w:tblPr>
        <w:tblW w:type="auto" w:w="0"/>
        <w:jc w:val="center"/>
        <w:tblLook w:firstColumn="1" w:firstRow="1" w:lastColumn="0" w:lastRow="0" w:noHBand="0" w:noVBand="1" w:val="04A0"/>
      </w:tblPr>
      <w:tblGrid>
        <w:gridCol w:w="9648"/>
      </w:tblGrid>
      <w:tr>
        <w:trPr>
          <w:cantSplit w:val="true"/>
        </w:trPr>
        <w:tc>
          <w:tcPr>
            <w:tcW w:type="dxa" w:w="9648"/>
            <w:shd w:val="clear" w:color="auto" w:fill="F4F6F8"/>
            <w:tcBorders>
              <w:top w:val="single" w:sz="4" w:space="0" w:color="E9ECEF"/>
              <w:bottom w:val="single" w:sz="4" w:space="0" w:color="E9ECEF"/>
              <w:right w:val="single" w:sz="4" w:space="0" w:color="E9ECEF"/>
              <w:left w:val="single" w:sz="28" w:space="0" w:color="F67D4B"/>
            </w:tcBorders>
            <w:tcMar>
              <w:top w:w="90" w:type="dxa"/>
              <w:bottom w:w="90" w:type="dxa"/>
              <w:left w:w="160" w:type="dxa"/>
              <w:right w:w="140" w:type="dxa"/>
            </w:tcMar>
          </w:tcPr>
          <w:p>
            <w:pPr>
              <w:spacing w:after="60"/>
            </w:pPr>
            <w:r/>
            <w:r>
              <w:rPr>
                <w:rFonts w:ascii="Arial" w:hAnsi="Arial"/>
                <w:b/>
                <w:i w:val="0"/>
                <w:color w:val="F67D4B"/>
                <w:sz w:val="21"/>
              </w:rPr>
              <w:t>Prompt: “Who are the best bulk diesel &amp; fleet fuel suppliers in the western US?”</w:t>
            </w:r>
          </w:p>
          <w:p>
            <w:pPr>
              <w:spacing w:after="40" w:line="283" w:lineRule="auto"/>
            </w:pPr>
            <w:r>
              <w:rPr>
                <w:rFonts w:ascii="Arial" w:hAnsi="Arial"/>
                <w:b/>
                <w:i w:val="0"/>
                <w:color w:val="1A1A2E"/>
                <w:sz w:val="19"/>
              </w:rPr>
              <w:t xml:space="preserve">Today.  </w:t>
            </w:r>
            <w:r>
              <w:rPr>
                <w:rFonts w:ascii="Arial" w:hAnsi="Arial"/>
                <w:b w:val="0"/>
                <w:i w:val="0"/>
                <w:color w:val="2D2D2D"/>
                <w:sz w:val="19"/>
              </w:rPr>
              <w:t>The AI assistant answers with whichever suppliers have content it can actually read and cite — it names a few national distributors and card-network brands, and does not surface SC Fuels, despite the billion-gallon scale, the Pilot backing, and the 15-state footprint. Because ~89% of the site is JS-rendered with no llms.txt, the model effectively cannot see SC Fuels at the moment the buyer is building a shortlist.</w:t>
            </w:r>
          </w:p>
          <w:p>
            <w:pPr>
              <w:spacing w:after="40" w:line="283" w:lineRule="auto"/>
            </w:pPr>
            <w:r>
              <w:rPr>
                <w:rFonts w:ascii="Arial" w:hAnsi="Arial"/>
                <w:b/>
                <w:i w:val="0"/>
                <w:color w:val="1A1A2E"/>
                <w:sz w:val="19"/>
              </w:rPr>
              <w:t xml:space="preserve">After GEO.  </w:t>
            </w:r>
            <w:r>
              <w:rPr>
                <w:rFonts w:ascii="Arial" w:hAnsi="Arial"/>
                <w:b w:val="0"/>
                <w:i w:val="0"/>
                <w:color w:val="2D2D2D"/>
                <w:sz w:val="19"/>
              </w:rPr>
              <w:t>The same query returns SC Fuels as a cited option — “SC Fuels, a Pilot Company, delivers bulk and cardlock fueling across 15 western states…” — with the service pages and FAQ schema as the evidence the assistant points to.</w:t>
            </w:r>
          </w:p>
        </w:tc>
      </w:tr>
    </w:tbl>
    <w:p>
      <w:pPr>
        <w:spacing w:after="140"/>
      </w:pPr>
    </w:p>
    <w:p>
      <w:pPr>
        <w:spacing w:after="120"/>
      </w:pPr>
      <w:r>
        <w:rPr>
          <w:rFonts w:ascii="Arial" w:hAnsi="Arial"/>
          <w:b w:val="0"/>
          <w:i/>
          <w:color w:val="59595B"/>
          <w:sz w:val="17"/>
        </w:rPr>
        <w:t>(Illustrative of current AI-search behavior for this query class; the live result is part of the audit baseline.)</w:t>
      </w:r>
    </w:p>
    <w:p>
      <w:pPr>
        <w:spacing w:after="120"/>
      </w:pPr>
    </w:p>
    <w:p>
      <w:pPr>
        <w:pStyle w:val="Heading2"/>
      </w:pPr>
      <w:r>
        <w:rPr>
          <w:rFonts w:ascii="Arial" w:hAnsi="Arial"/>
          <w:b/>
          <w:i w:val="0"/>
          <w:color w:val="1A1A2E"/>
          <w:sz w:val="25"/>
        </w:rPr>
        <w:t>10.4  The cost of waiting</w:t>
      </w:r>
    </w:p>
    <w:p>
      <w:pPr>
        <w:spacing w:after="120"/>
      </w:pPr>
      <w:r>
        <w:rPr>
          <w:rFonts w:ascii="Arial" w:hAnsi="Arial"/>
          <w:b w:val="0"/>
          <w:i w:val="0"/>
          <w:color w:val="2D2D2D"/>
          <w:sz w:val="21"/>
        </w:rPr>
        <w:t>AI-search visibility compounds, and it rewards whoever optimizes first. Every quarter SC Fuels is unreadable to the models, the assistants learn to answer “best fuel supplier” with someone else — and that default, once set in the training and retrieval data, is harder and costlier to dislodge than to claim now. The website rebuild is already budgeted and the competitors named in Section 8 are not yet GEO-optimized either; the cheapest, highest-leverage moment to own these answers is before any of them do. The cost of waiting is not zero — it is a competitor becoming the default answer.</w:t>
      </w:r>
    </w:p>
    <w:p>
      <w:pPr>
        <w:pStyle w:val="Heading1"/>
        <w:pageBreakBefore/>
        <w:spacing w:before="0"/>
        <w:pBdr>
          <w:bottom w:val="single" w:sz="12" w:space="3" w:color="F67D4B"/>
        </w:pBdr>
      </w:pPr>
      <w:r>
        <w:rPr>
          <w:rFonts w:ascii="Arial" w:hAnsi="Arial"/>
          <w:b/>
          <w:i w:val="0"/>
          <w:color w:val="006DB6"/>
          <w:sz w:val="30"/>
        </w:rPr>
        <w:t>11.  Site Performance — Grade D</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3280"/>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Metric</w:t>
            </w:r>
          </w:p>
        </w:tc>
        <w:tc>
          <w:tcPr>
            <w:tcW w:type="dxa" w:w="3666"/>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Value</w:t>
            </w:r>
          </w:p>
        </w:tc>
        <w:tc>
          <w:tcPr>
            <w:tcW w:type="dxa" w:w="2701"/>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Target</w:t>
            </w:r>
          </w:p>
        </w:tc>
      </w:tr>
      <w:tr>
        <w:trPr>
          <w:cantSplit w:val="true"/>
        </w:trPr>
        <w:tc>
          <w:tcPr>
            <w:tcW w:type="dxa" w:w="328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Content loaded</w:t>
            </w:r>
          </w:p>
        </w:tc>
        <w:tc>
          <w:tcPr>
            <w:tcW w:type="dxa" w:w="366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7.9 s</w:t>
            </w:r>
          </w:p>
        </w:tc>
        <w:tc>
          <w:tcPr>
            <w:tcW w:type="dxa" w:w="270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&lt; 3 s</w:t>
            </w:r>
          </w:p>
        </w:tc>
      </w:tr>
      <w:tr>
        <w:trPr>
          <w:cantSplit w:val="true"/>
        </w:trPr>
        <w:tc>
          <w:tcPr>
            <w:tcW w:type="dxa" w:w="328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Total page size</w:t>
            </w:r>
          </w:p>
        </w:tc>
        <w:tc>
          <w:tcPr>
            <w:tcW w:type="dxa" w:w="366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6.10 MB</w:t>
            </w:r>
          </w:p>
        </w:tc>
        <w:tc>
          <w:tcPr>
            <w:tcW w:type="dxa" w:w="270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&lt; 5 MB</w:t>
            </w:r>
          </w:p>
        </w:tc>
      </w:tr>
      <w:tr>
        <w:trPr>
          <w:cantSplit w:val="true"/>
        </w:trPr>
        <w:tc>
          <w:tcPr>
            <w:tcW w:type="dxa" w:w="328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JavaScript</w:t>
            </w:r>
          </w:p>
        </w:tc>
        <w:tc>
          <w:tcPr>
            <w:tcW w:type="dxa" w:w="366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2.4 MB / 62 files</w:t>
            </w:r>
          </w:p>
        </w:tc>
        <w:tc>
          <w:tcPr>
            <w:tcW w:type="dxa" w:w="270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Bundle + defer</w:t>
            </w:r>
          </w:p>
        </w:tc>
      </w:tr>
      <w:tr>
        <w:trPr>
          <w:cantSplit w:val="true"/>
        </w:trPr>
        <w:tc>
          <w:tcPr>
            <w:tcW w:type="dxa" w:w="328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CSS compression</w:t>
            </w:r>
          </w:p>
        </w:tc>
        <w:tc>
          <w:tcPr>
            <w:tcW w:type="dxa" w:w="366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7% compressed</w:t>
            </w:r>
          </w:p>
        </w:tc>
        <w:tc>
          <w:tcPr>
            <w:tcW w:type="dxa" w:w="270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70%+</w:t>
            </w:r>
          </w:p>
        </w:tc>
      </w:tr>
      <w:tr>
        <w:trPr>
          <w:cantSplit w:val="true"/>
        </w:trPr>
        <w:tc>
          <w:tcPr>
            <w:tcW w:type="dxa" w:w="328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Images</w:t>
            </w:r>
          </w:p>
        </w:tc>
        <w:tc>
          <w:tcPr>
            <w:tcW w:type="dxa" w:w="366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1.4 MB / 27% compressed</w:t>
            </w:r>
          </w:p>
        </w:tc>
        <w:tc>
          <w:tcPr>
            <w:tcW w:type="dxa" w:w="2701"/>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WebP + lazy-load</w:t>
            </w:r>
          </w:p>
        </w:tc>
      </w:tr>
      <w:tr>
        <w:trPr>
          <w:cantSplit w:val="true"/>
        </w:trPr>
        <w:tc>
          <w:tcPr>
            <w:tcW w:type="dxa" w:w="328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HTTP protocol</w:t>
            </w:r>
          </w:p>
        </w:tc>
        <w:tc>
          <w:tcPr>
            <w:tcW w:type="dxa" w:w="366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HTTP/1</w:t>
            </w:r>
          </w:p>
        </w:tc>
        <w:tc>
          <w:tcPr>
            <w:tcW w:type="dxa" w:w="2701"/>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HTTP/2 (Nginx supports it)</w:t>
            </w:r>
          </w:p>
        </w:tc>
      </w:tr>
    </w:tbl>
    <w:p>
      <w:pPr>
        <w:spacing w:after="120"/>
      </w:pPr>
    </w:p>
    <w:p>
      <w:pPr>
        <w:spacing w:after="120"/>
      </w:pPr>
      <w:r>
        <w:rPr>
          <w:rFonts w:ascii="Arial" w:hAnsi="Arial"/>
          <w:b w:val="0"/>
          <w:i w:val="0"/>
          <w:color w:val="2D2D2D"/>
          <w:sz w:val="21"/>
        </w:rPr>
        <w:t>Server response is excellent (0.1s) — the weight is front-end. The fixes are mostly configuration, not redevelopment: enable HTTP/2 (15–30% faster), turn on Brotli compression (CSS 1.86MB → ~0.5MB), and run images through a WebP/CDN pipeline (1.4MB → under 400KB). These pair naturally with the website rebuild and are owned by Technijian in the operating model (Section 14).</w:t>
      </w:r>
    </w:p>
    <w:p>
      <w:pPr>
        <w:pStyle w:val="Heading1"/>
        <w:pageBreakBefore/>
        <w:spacing w:before="0"/>
        <w:pBdr>
          <w:bottom w:val="single" w:sz="12" w:space="3" w:color="F67D4B"/>
        </w:pBdr>
      </w:pPr>
      <w:r>
        <w:rPr>
          <w:rFonts w:ascii="Arial" w:hAnsi="Arial"/>
          <w:b/>
          <w:i w:val="0"/>
          <w:color w:val="006DB6"/>
          <w:sz w:val="30"/>
        </w:rPr>
        <w:t>12.  Understanding AI — A Field Guide for SC Fuels Leadership</w:t>
      </w:r>
    </w:p>
    <w:p>
      <w:pPr>
        <w:spacing w:after="120"/>
      </w:pPr>
      <w:r>
        <w:rPr>
          <w:rFonts w:ascii="Arial" w:hAnsi="Arial"/>
          <w:b w:val="0"/>
          <w:i w:val="0"/>
          <w:color w:val="2D2D2D"/>
          <w:sz w:val="21"/>
        </w:rPr>
        <w:t>Before the engine, a short primer — so the team can judge everything that follows on its merits, not on the hype. No jargon: what AI is, where SC Fuels sits today, how to adopt it without risk, and what comparable operators are already doing. This section is vendor-neutral and built on published frameworks from MIT, the U.S. NIST, Anthropic, McKinsey, and widely-used AI maturity models.</w:t>
      </w:r>
    </w:p>
    <w:p>
      <w:pPr>
        <w:pStyle w:val="Heading2"/>
      </w:pPr>
      <w:r>
        <w:rPr>
          <w:rFonts w:ascii="Arial" w:hAnsi="Arial"/>
          <w:b/>
          <w:i w:val="0"/>
          <w:color w:val="1A1A2E"/>
          <w:sz w:val="25"/>
        </w:rPr>
        <w:t>What AI actually is — and isn’t</w:t>
      </w:r>
    </w:p>
    <w:p>
      <w:pPr>
        <w:spacing w:after="120"/>
      </w:pPr>
      <w:r>
        <w:rPr>
          <w:rFonts w:ascii="Arial" w:hAnsi="Arial"/>
          <w:b w:val="0"/>
          <w:i w:val="0"/>
          <w:color w:val="2D2D2D"/>
          <w:sz w:val="21"/>
        </w:rPr>
        <w:t>As MIT Sloan frames it, a leader needs to know what AI can and cannot do — not how to build it. For planning, the only distinction that matters is this:</w:t>
      </w:r>
    </w:p>
    <w:p>
      <w:pPr>
        <w:pStyle w:val="ListBullet"/>
        <w:spacing w:after="60" w:line="283" w:lineRule="auto"/>
      </w:pPr>
      <w:r>
        <w:rPr>
          <w:rFonts w:ascii="Arial" w:hAnsi="Arial"/>
          <w:b/>
          <w:i w:val="0"/>
          <w:color w:val="1A1A2E"/>
          <w:sz w:val="20"/>
        </w:rPr>
        <w:t xml:space="preserve">Automation (workflows): </w:t>
      </w:r>
      <w:r>
        <w:rPr>
          <w:rFonts w:ascii="Arial" w:hAnsi="Arial"/>
          <w:b w:val="0"/>
          <w:i w:val="0"/>
          <w:color w:val="2D2D2D"/>
          <w:sz w:val="20"/>
        </w:rPr>
        <w:t>the AI follows a path you define — predictable, low-risk (“draft this bid response from these specs”). Almost all near-term value lives here.</w:t>
      </w:r>
    </w:p>
    <w:p>
      <w:pPr>
        <w:pStyle w:val="ListBullet"/>
        <w:spacing w:after="60" w:line="283" w:lineRule="auto"/>
      </w:pPr>
      <w:r>
        <w:rPr>
          <w:rFonts w:ascii="Arial" w:hAnsi="Arial"/>
          <w:b/>
          <w:i w:val="0"/>
          <w:color w:val="1A1A2E"/>
          <w:sz w:val="20"/>
        </w:rPr>
        <w:t xml:space="preserve">Agents: </w:t>
      </w:r>
      <w:r>
        <w:rPr>
          <w:rFonts w:ascii="Arial" w:hAnsi="Arial"/>
          <w:b w:val="0"/>
          <w:i w:val="0"/>
          <w:color w:val="2D2D2D"/>
          <w:sz w:val="20"/>
        </w:rPr>
        <w:t>the AI decides the steps itself — more flexible, needs human oversight (“watch the pipeline and flag stalled deals”). This comes later, where it earns its place.</w:t>
      </w:r>
    </w:p>
    <w:p>
      <w:pPr>
        <w:spacing w:after="120"/>
      </w:pPr>
      <w:r>
        <w:rPr>
          <w:rFonts w:ascii="Arial" w:hAnsi="Arial"/>
          <w:b w:val="0"/>
          <w:i w:val="0"/>
          <w:color w:val="2D2D2D"/>
          <w:sz w:val="21"/>
        </w:rPr>
        <w:t>The operating principle (Anthropic’s guidance on building AI systems) is to use the simplest thing that works. We start SC Fuels with simple automations that pay off in the first 90 days and add autonomous agents only where the value is proven — which is exactly how this report’s roadmap is sequenced.</w:t>
      </w:r>
    </w:p>
    <w:p>
      <w:pPr>
        <w:pStyle w:val="Heading2"/>
      </w:pPr>
      <w:r>
        <w:rPr>
          <w:rFonts w:ascii="Arial" w:hAnsi="Arial"/>
          <w:b/>
          <w:i w:val="0"/>
          <w:color w:val="1A1A2E"/>
          <w:sz w:val="25"/>
        </w:rPr>
        <w:t>Where SC Fuels sits today — the AI maturity ladder</w:t>
      </w:r>
    </w:p>
    <w:p>
      <w:pPr>
        <w:spacing w:after="120"/>
      </w:pPr>
      <w:r>
        <w:rPr>
          <w:rFonts w:ascii="Arial" w:hAnsi="Arial"/>
          <w:b w:val="0"/>
          <w:i w:val="0"/>
          <w:color w:val="2D2D2D"/>
          <w:sz w:val="21"/>
        </w:rPr>
        <w:t>Most established, well-run companies — including SC Fuels — sit at the first or second rung of the widely-used five-stage AI maturity model (consistent with Gartner’s and Google Cloud’s frameworks). The leaders are only one or two rungs higher, and the gap closes in months. SC Fuels has an advantage: parent Pilot is already operating AI (the 27→3-day onboarding win Derek cited on June 2), so the benchmark is in the family.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212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Stage</w:t>
            </w:r>
          </w:p>
        </w:tc>
        <w:tc>
          <w:tcPr>
            <w:tcW w:type="dxa" w:w="540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What it looks like</w:t>
            </w:r>
          </w:p>
        </w:tc>
        <w:tc>
          <w:tcPr>
            <w:tcW w:type="dxa" w:w="212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SC Fuels today</w:t>
            </w:r>
          </w:p>
        </w:tc>
      </w:tr>
      <w:tr>
        <w:trPr>
          <w:cantSplit w:val="true"/>
        </w:trPr>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1. Foundational</w:t>
            </w:r>
          </w:p>
        </w:tc>
        <w:tc>
          <w:tcPr>
            <w:tcW w:type="dxa" w:w="540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Little or no AI; manual, people-dependent processes</w:t>
            </w:r>
          </w:p>
        </w:tc>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r>
          </w:p>
        </w:tc>
      </w:tr>
      <w:tr>
        <w:trPr>
          <w:cantSplit w:val="true"/>
        </w:trPr>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2. Emerging</w:t>
            </w:r>
          </w:p>
        </w:tc>
        <w:tc>
          <w:tcPr>
            <w:tcW w:type="dxa" w:w="540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Strong data tools in place (InsightView, FleetSeek, Salesforce) but AI not yet woven into growth or operations</w:t>
            </w:r>
          </w:p>
        </w:tc>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YOU ARE HERE</w:t>
            </w:r>
          </w:p>
        </w:tc>
      </w:tr>
      <w:tr>
        <w:trPr>
          <w:cantSplit w:val="true"/>
        </w:trPr>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3. Operational</w:t>
            </w:r>
          </w:p>
        </w:tc>
        <w:tc>
          <w:tcPr>
            <w:tcW w:type="dxa" w:w="540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 runs specific workflows day-to-day — content, outbound, credit, compliance — with measured results</w:t>
            </w:r>
          </w:p>
        </w:tc>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r>
          </w:p>
        </w:tc>
      </w:tr>
      <w:tr>
        <w:trPr>
          <w:cantSplit w:val="true"/>
        </w:trPr>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4. Scaled</w:t>
            </w:r>
          </w:p>
        </w:tc>
        <w:tc>
          <w:tcPr>
            <w:tcW w:type="dxa" w:w="540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 embedded across growth and operations with governance and dashboards</w:t>
            </w:r>
          </w:p>
        </w:tc>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r>
          </w:p>
        </w:tc>
      </w:tr>
      <w:tr>
        <w:trPr>
          <w:cantSplit w:val="true"/>
        </w:trPr>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5. Transformational</w:t>
            </w:r>
          </w:p>
        </w:tc>
        <w:tc>
          <w:tcPr>
            <w:tcW w:type="dxa" w:w="540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 is the default way the business runs and competes</w:t>
            </w:r>
          </w:p>
        </w:tc>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r>
          </w:p>
        </w:tc>
      </w:tr>
    </w:tbl>
    <w:p>
      <w:pPr>
        <w:spacing w:after="120"/>
      </w:pPr>
    </w:p>
    <w:p>
      <w:pPr>
        <w:spacing w:after="120"/>
      </w:pPr>
      <w:r>
        <w:rPr>
          <w:rFonts w:ascii="Arial" w:hAnsi="Arial"/>
          <w:b w:val="0"/>
          <w:i/>
          <w:color w:val="59595B"/>
          <w:sz w:val="19"/>
        </w:rPr>
        <w:t>This report is the plan to reach Operational — AI working in the growth engine and inside the business — within twelve months.</w:t>
      </w:r>
    </w:p>
    <w:p>
      <w:pPr>
        <w:pStyle w:val="Heading2"/>
      </w:pPr>
      <w:r>
        <w:rPr>
          <w:rFonts w:ascii="Arial" w:hAnsi="Arial"/>
          <w:b/>
          <w:i w:val="0"/>
          <w:color w:val="1A1A2E"/>
          <w:sz w:val="25"/>
        </w:rPr>
        <w:t>Adopting AI responsibly — three risks every leader manages</w:t>
      </w:r>
    </w:p>
    <w:p>
      <w:pPr>
        <w:spacing w:after="120"/>
      </w:pPr>
      <w:r>
        <w:rPr>
          <w:rFonts w:ascii="Arial" w:hAnsi="Arial"/>
          <w:b w:val="0"/>
          <w:i w:val="0"/>
          <w:color w:val="2D2D2D"/>
          <w:sz w:val="21"/>
        </w:rPr>
        <w:t>The U.S. NIST AI Risk Management Framework gives leaders a simple model — Govern, Map, Measure, Manage. For SC Fuels, three risks matter most, each with a concrete control:</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1930"/>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Risk</w:t>
            </w:r>
          </w:p>
        </w:tc>
        <w:tc>
          <w:tcPr>
            <w:tcW w:type="dxa" w:w="347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What it means</w:t>
            </w:r>
          </w:p>
        </w:tc>
        <w:tc>
          <w:tcPr>
            <w:tcW w:type="dxa" w:w="4245"/>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How Technijian controls it</w:t>
            </w:r>
          </w:p>
        </w:tc>
      </w:tr>
      <w:tr>
        <w:trPr>
          <w:cantSplit w:val="true"/>
        </w:trPr>
        <w:tc>
          <w:tcPr>
            <w:tcW w:type="dxa" w:w="193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Hallucination</w:t>
            </w:r>
          </w:p>
        </w:tc>
        <w:tc>
          <w:tcPr>
            <w:tcW w:type="dxa" w:w="347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 can state a confident, wrong answer</w:t>
            </w:r>
          </w:p>
        </w:tc>
        <w:tc>
          <w:tcPr>
            <w:tcW w:type="dxa" w:w="424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Human-in-the-loop on anything customer-facing or compliance-bound — AI drafts, a person approves</w:t>
            </w:r>
          </w:p>
        </w:tc>
      </w:tr>
      <w:tr>
        <w:trPr>
          <w:cantSplit w:val="true"/>
        </w:trPr>
        <w:tc>
          <w:tcPr>
            <w:tcW w:type="dxa" w:w="193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Data leakage</w:t>
            </w:r>
          </w:p>
        </w:tc>
        <w:tc>
          <w:tcPr>
            <w:tcW w:type="dxa" w:w="347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Sensitive data pasted into public tools can escape</w:t>
            </w:r>
          </w:p>
        </w:tc>
        <w:tc>
          <w:tcPr>
            <w:tcW w:type="dxa" w:w="4245"/>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Private, governed deployments — customer, pricing, and credit data never touch a public model</w:t>
            </w:r>
          </w:p>
        </w:tc>
      </w:tr>
      <w:tr>
        <w:trPr>
          <w:cantSplit w:val="true"/>
        </w:trPr>
        <w:tc>
          <w:tcPr>
            <w:tcW w:type="dxa" w:w="193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Compliance &amp; accountability</w:t>
            </w:r>
          </w:p>
        </w:tc>
        <w:tc>
          <w:tcPr>
            <w:tcW w:type="dxa" w:w="347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Untracked AI tools create audit gaps</w:t>
            </w:r>
          </w:p>
        </w:tc>
        <w:tc>
          <w:tcPr>
            <w:tcW w:type="dxa" w:w="424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Every AI tool inventoried with owner, vendor, and data source — important for LCFS/RIN/IFTA and financial controls; CISSP-led</w:t>
            </w:r>
          </w:p>
        </w:tc>
      </w:tr>
    </w:tbl>
    <w:p>
      <w:pPr>
        <w:spacing w:after="120"/>
      </w:pPr>
    </w:p>
    <w:p>
      <w:pPr>
        <w:pStyle w:val="Heading2"/>
      </w:pPr>
      <w:r>
        <w:rPr>
          <w:rFonts w:ascii="Arial" w:hAnsi="Arial"/>
          <w:b/>
          <w:i w:val="0"/>
          <w:color w:val="1A1A2E"/>
          <w:sz w:val="25"/>
        </w:rPr>
        <w:t>What comparable operators are already doing</w:t>
      </w:r>
    </w:p>
    <w:p>
      <w:pPr>
        <w:pStyle w:val="ListBullet"/>
        <w:spacing w:after="60" w:line="283" w:lineRule="auto"/>
      </w:pPr>
      <w:r>
        <w:rPr>
          <w:rFonts w:ascii="Arial" w:hAnsi="Arial"/>
          <w:b/>
          <w:i w:val="0"/>
          <w:color w:val="1A1A2E"/>
          <w:sz w:val="20"/>
        </w:rPr>
        <w:t xml:space="preserve">Fuel &amp; logistics distribution: </w:t>
      </w:r>
      <w:r>
        <w:rPr>
          <w:rFonts w:ascii="Arial" w:hAnsi="Arial"/>
          <w:b w:val="0"/>
          <w:i w:val="0"/>
          <w:color w:val="2D2D2D"/>
          <w:sz w:val="20"/>
        </w:rPr>
        <w:t>a national distributor uses AI demand-and-route forecasting to cut delivery cost and stockouts across a multi-state network.</w:t>
      </w:r>
    </w:p>
    <w:p>
      <w:pPr>
        <w:pStyle w:val="ListBullet"/>
        <w:spacing w:after="60" w:line="283" w:lineRule="auto"/>
      </w:pPr>
      <w:r>
        <w:rPr>
          <w:rFonts w:ascii="Arial" w:hAnsi="Arial"/>
          <w:b/>
          <w:i w:val="0"/>
          <w:color w:val="1A1A2E"/>
          <w:sz w:val="20"/>
        </w:rPr>
        <w:t xml:space="preserve">Bid-driven B2B: </w:t>
      </w:r>
      <w:r>
        <w:rPr>
          <w:rFonts w:ascii="Arial" w:hAnsi="Arial"/>
          <w:b w:val="0"/>
          <w:i w:val="0"/>
          <w:color w:val="2D2D2D"/>
          <w:sz w:val="20"/>
        </w:rPr>
        <w:t>a document-heavy firm turned multi-day RFP and compliance assembly into a minutes-long, audit-ready draft — competing on far more bids with the same team.</w:t>
      </w:r>
    </w:p>
    <w:p>
      <w:pPr>
        <w:pStyle w:val="ListBullet"/>
        <w:spacing w:after="60" w:line="283" w:lineRule="auto"/>
      </w:pPr>
      <w:r>
        <w:rPr>
          <w:rFonts w:ascii="Arial" w:hAnsi="Arial"/>
          <w:b/>
          <w:i w:val="0"/>
          <w:color w:val="1A1A2E"/>
          <w:sz w:val="20"/>
        </w:rPr>
        <w:t xml:space="preserve">Field sales: </w:t>
      </w:r>
      <w:r>
        <w:rPr>
          <w:rFonts w:ascii="Arial" w:hAnsi="Arial"/>
          <w:b w:val="0"/>
          <w:i w:val="0"/>
          <w:color w:val="2D2D2D"/>
          <w:sz w:val="20"/>
        </w:rPr>
        <w:t>an operator gave each rep an AI assistant that watches the CRM and drafts personalized outreach, so one person covers several times the accounts.</w:t>
      </w:r>
    </w:p>
    <w:p>
      <w:pPr>
        <w:spacing w:after="120"/>
      </w:pPr>
      <w:r>
        <w:rPr>
          <w:rFonts w:ascii="Arial" w:hAnsi="Arial"/>
          <w:b w:val="0"/>
          <w:i/>
          <w:color w:val="59595B"/>
          <w:sz w:val="19"/>
        </w:rPr>
        <w:t>These are representative directions of travel across comparable industries, not guarantees; SC Fuels’ own numbers would be confirmed in discovery. Technijian’s specific, measured results from prior builds appear in Section 13 (the four pillars) and the efficiency table in Section 13.</w:t>
      </w:r>
    </w:p>
    <w:p>
      <w:pPr>
        <w:pStyle w:val="Heading2"/>
      </w:pPr>
      <w:r>
        <w:rPr>
          <w:rFonts w:ascii="Arial" w:hAnsi="Arial"/>
          <w:b/>
          <w:i w:val="0"/>
          <w:color w:val="1A1A2E"/>
          <w:sz w:val="25"/>
        </w:rPr>
        <w:t>A day in the life — an SC Fuels sales rep</w:t>
      </w:r>
    </w:p>
    <w:tbl>
      <w:tblPr>
        <w:tblW w:type="auto" w:w="0"/>
        <w:jc w:val="center"/>
        <w:tblLook w:firstColumn="1" w:firstRow="1" w:lastColumn="0" w:lastRow="0" w:noHBand="0" w:noVBand="1" w:val="04A0"/>
      </w:tblPr>
      <w:tblGrid>
        <w:gridCol w:w="9648"/>
      </w:tblGrid>
      <w:tr>
        <w:trPr>
          <w:cantSplit w:val="true"/>
        </w:trPr>
        <w:tc>
          <w:tcPr>
            <w:tcW w:type="dxa" w:w="9648"/>
            <w:shd w:val="clear" w:color="auto" w:fill="F4F6F8"/>
            <w:tcBorders>
              <w:top w:val="single" w:sz="4" w:space="0" w:color="E9ECEF"/>
              <w:bottom w:val="single" w:sz="4" w:space="0" w:color="E9ECEF"/>
              <w:right w:val="single" w:sz="4" w:space="0" w:color="E9ECEF"/>
              <w:left w:val="single" w:sz="28" w:space="0" w:color="006DB6"/>
            </w:tcBorders>
            <w:tcMar>
              <w:top w:w="90" w:type="dxa"/>
              <w:bottom w:w="90" w:type="dxa"/>
              <w:left w:w="160" w:type="dxa"/>
              <w:right w:w="140" w:type="dxa"/>
            </w:tcMar>
          </w:tcPr>
          <w:p>
            <w:pPr>
              <w:spacing w:after="60"/>
            </w:pPr>
            <w:r/>
            <w:r>
              <w:rPr>
                <w:rFonts w:ascii="Arial" w:hAnsi="Arial"/>
                <w:b/>
                <w:i w:val="0"/>
                <w:color w:val="006DB6"/>
                <w:sz w:val="21"/>
              </w:rPr>
              <w:t>Before vs. after AI</w:t>
            </w:r>
          </w:p>
          <w:p>
            <w:pPr>
              <w:spacing w:after="40" w:line="283" w:lineRule="auto"/>
            </w:pPr>
            <w:r>
              <w:rPr>
                <w:rFonts w:ascii="Arial" w:hAnsi="Arial"/>
                <w:b/>
                <w:i w:val="0"/>
                <w:color w:val="1A1A2E"/>
                <w:sz w:val="19"/>
              </w:rPr>
              <w:t xml:space="preserve">Today.  </w:t>
            </w:r>
            <w:r>
              <w:rPr>
                <w:rFonts w:ascii="Arial" w:hAnsi="Arial"/>
                <w:b w:val="0"/>
                <w:i w:val="0"/>
                <w:color w:val="2D2D2D"/>
                <w:sz w:val="19"/>
              </w:rPr>
              <w:t>The rep researches prospects by hand across FleetSeek and InsightView, writes each outreach from scratch, manually nudges stalled Salesforce opportunities, waits on a manual credit review to activate a new account, and assembles RFP responses over days.</w:t>
            </w:r>
          </w:p>
          <w:p>
            <w:pPr>
              <w:spacing w:after="40" w:line="283" w:lineRule="auto"/>
            </w:pPr>
            <w:r>
              <w:rPr>
                <w:rFonts w:ascii="Arial" w:hAnsi="Arial"/>
                <w:b/>
                <w:i w:val="0"/>
                <w:color w:val="1A1A2E"/>
                <w:sz w:val="19"/>
              </w:rPr>
              <w:t xml:space="preserve">With AI.  </w:t>
            </w:r>
            <w:r>
              <w:rPr>
                <w:rFonts w:ascii="Arial" w:hAnsi="Arial"/>
                <w:b w:val="0"/>
                <w:i w:val="0"/>
                <w:color w:val="2D2D2D"/>
                <w:sz w:val="19"/>
              </w:rPr>
              <w:t>AI scores and sorts prospects against the ICP, drafts personalized outreach per account, flags stalled deals with a next-best action, accelerates the credit packet to a same-day yes/no, and auto-drafts RFP responses from a reusable library — so the rep spends time on relationships, not paperwork, and covers 2–4× the accounts.</w:t>
            </w:r>
          </w:p>
        </w:tc>
      </w:tr>
    </w:tbl>
    <w:p>
      <w:pPr>
        <w:spacing w:after="140"/>
      </w:pPr>
    </w:p>
    <w:p>
      <w:pPr>
        <w:pStyle w:val="Heading2"/>
      </w:pPr>
      <w:r>
        <w:rPr>
          <w:rFonts w:ascii="Arial" w:hAnsi="Arial"/>
          <w:b/>
          <w:i w:val="0"/>
          <w:color w:val="1A1A2E"/>
          <w:sz w:val="25"/>
        </w:rPr>
        <w:t>Why a partner — vs. hiring or doing it yourself</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4"/>
        <w:gridCol w:w="4824"/>
      </w:tblGrid>
      <w:tr>
        <w:trPr>
          <w:cantSplit w:val="true"/>
        </w:trPr>
        <w:tc>
          <w:tcPr>
            <w:tcW w:type="dxa" w:w="1930"/>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Path</w:t>
            </w:r>
          </w:p>
        </w:tc>
        <w:tc>
          <w:tcPr>
            <w:tcW w:type="dxa" w:w="7718"/>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9"/>
              </w:rPr>
              <w:t>Reality</w:t>
            </w:r>
          </w:p>
        </w:tc>
      </w:tr>
      <w:tr>
        <w:trPr>
          <w:cantSplit w:val="true"/>
        </w:trPr>
        <w:tc>
          <w:tcPr>
            <w:tcW w:type="dxa" w:w="193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DIY tools</w:t>
            </w:r>
          </w:p>
        </w:tc>
        <w:tc>
          <w:tcPr>
            <w:tcW w:type="dxa" w:w="771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Inexpensive, but SC Fuels assembles, secures, and governs everything — and owns the three risks above alone</w:t>
            </w:r>
          </w:p>
        </w:tc>
      </w:tr>
      <w:tr>
        <w:trPr>
          <w:cantSplit w:val="true"/>
        </w:trPr>
        <w:tc>
          <w:tcPr>
            <w:tcW w:type="dxa" w:w="193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Hire in-house</w:t>
            </w:r>
          </w:p>
        </w:tc>
        <w:tc>
          <w:tcPr>
            <w:tcW w:type="dxa" w:w="771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A capable AI leader typically costs $180K+/year and is scarce; one person cannot cover strategy, build, security, and governance</w:t>
            </w:r>
          </w:p>
        </w:tc>
      </w:tr>
      <w:tr>
        <w:trPr>
          <w:cantSplit w:val="true"/>
        </w:trPr>
        <w:tc>
          <w:tcPr>
            <w:tcW w:type="dxa" w:w="193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9"/>
              </w:rPr>
              <w:t>Partner (Technijian)</w:t>
            </w:r>
          </w:p>
        </w:tc>
        <w:tc>
          <w:tcPr>
            <w:tcW w:type="dxa" w:w="771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9"/>
              </w:rPr>
              <w:t>Strategy, build, security, and governance in one team at a fraction of a hire — proven builds, CISSP-led security, and it complements WebFX rather than replacing your stack</w:t>
            </w:r>
          </w:p>
        </w:tc>
      </w:tr>
    </w:tbl>
    <w:p>
      <w:pPr>
        <w:spacing w:after="120"/>
      </w:pPr>
    </w:p>
    <w:p>
      <w:pPr>
        <w:spacing w:after="120"/>
      </w:pPr>
      <w:r>
        <w:rPr>
          <w:rFonts w:ascii="Arial" w:hAnsi="Arial"/>
          <w:b w:val="0"/>
          <w:i/>
          <w:color w:val="59595B"/>
          <w:sz w:val="17"/>
        </w:rPr>
        <w:t>Sources cited: MIT Sloan (AI literacy); Anthropic (AI system design); Gartner (AI maturity model); U.S. NIST AI Risk Management Framework; McKinsey (measuring AI value, Section 15).</w:t>
      </w:r>
    </w:p>
    <w:p>
      <w:pPr>
        <w:pStyle w:val="Heading1"/>
        <w:pageBreakBefore/>
        <w:spacing w:before="0"/>
        <w:pBdr>
          <w:bottom w:val="single" w:sz="12" w:space="3" w:color="F67D4B"/>
        </w:pBdr>
      </w:pPr>
      <w:r>
        <w:rPr>
          <w:rFonts w:ascii="Arial" w:hAnsi="Arial"/>
          <w:b/>
          <w:i w:val="0"/>
          <w:color w:val="006DB6"/>
          <w:sz w:val="30"/>
        </w:rPr>
        <w:t>13.  How Technijian’s AI-Driven Engine Gets SC Fuels There</w:t>
      </w:r>
    </w:p>
    <w:p>
      <w:pPr>
        <w:spacing w:after="120"/>
      </w:pPr>
      <w:r>
        <w:rPr>
          <w:rFonts w:ascii="Arial" w:hAnsi="Arial"/>
          <w:b w:val="0"/>
          <w:i w:val="0"/>
          <w:color w:val="2D2D2D"/>
          <w:sz w:val="21"/>
        </w:rPr>
        <w:t>This is the heart of Revision 2. The engine has four pillars. Pillars 1–2 strengthen what brings buyers in (and overlap with what WebFX does — we can support or run it). Pillars 3–4 are net-new: the outbound and internal AI that no SEO agency provides, and that Derek’s goals actually require. Each pillar lists what Technijian has already built, so this is proven capability — not theory.</w:t>
      </w:r>
    </w:p>
    <w:tbl>
      <w:tblPr>
        <w:tblW w:type="auto" w:w="0"/>
        <w:jc w:val="center"/>
        <w:tblLook w:firstColumn="1" w:firstRow="1" w:lastColumn="0" w:lastRow="0" w:noHBand="0" w:noVBand="1" w:val="04A0"/>
      </w:tblPr>
      <w:tblGrid>
        <w:gridCol w:w="9648"/>
      </w:tblGrid>
      <w:tr>
        <w:trPr>
          <w:cantSplit w:val="true"/>
        </w:trPr>
        <w:tc>
          <w:tcPr>
            <w:tcW w:type="dxa" w:w="9648"/>
            <w:shd w:val="clear" w:color="auto" w:fill="F4F6F8"/>
            <w:tcBorders>
              <w:top w:val="single" w:sz="4" w:space="0" w:color="E9ECEF"/>
              <w:bottom w:val="single" w:sz="4" w:space="0" w:color="E9ECEF"/>
              <w:right w:val="single" w:sz="4" w:space="0" w:color="E9ECEF"/>
              <w:left w:val="single" w:sz="28" w:space="0" w:color="006DB6"/>
            </w:tcBorders>
            <w:tcMar>
              <w:top w:w="90" w:type="dxa"/>
              <w:bottom w:w="90" w:type="dxa"/>
              <w:left w:w="160" w:type="dxa"/>
              <w:right w:w="140" w:type="dxa"/>
            </w:tcMar>
          </w:tcPr>
          <w:p>
            <w:pPr>
              <w:spacing w:after="60"/>
            </w:pPr>
            <w:r/>
            <w:r>
              <w:rPr>
                <w:rFonts w:ascii="Arial" w:hAnsi="Arial"/>
                <w:b/>
                <w:i w:val="0"/>
                <w:color w:val="006DB6"/>
                <w:sz w:val="21"/>
              </w:rPr>
              <w:t>Proven build — Multi-Agent SEO &amp; Content Platform</w:t>
            </w:r>
          </w:p>
          <w:p>
            <w:pPr>
              <w:spacing w:after="40" w:line="283" w:lineRule="auto"/>
            </w:pPr>
            <w:r>
              <w:rPr>
                <w:rFonts w:ascii="Arial" w:hAnsi="Arial"/>
                <w:b/>
                <w:i w:val="0"/>
                <w:color w:val="1A1A2E"/>
                <w:sz w:val="19"/>
              </w:rPr>
              <w:t xml:space="preserve">What we built.  </w:t>
            </w:r>
            <w:r>
              <w:rPr>
                <w:rFonts w:ascii="Arial" w:hAnsi="Arial"/>
                <w:b w:val="0"/>
                <w:i w:val="0"/>
                <w:color w:val="2D2D2D"/>
                <w:sz w:val="19"/>
              </w:rPr>
              <w:t>A multi-agent platform orchestrating Claude, GPT-4o and Gemini with MCP servers for SEMrush, GA4, Perplexity, Firecrawl and social distribution — ~70% less content-production time.</w:t>
            </w:r>
          </w:p>
          <w:p>
            <w:pPr>
              <w:spacing w:after="40" w:line="283" w:lineRule="auto"/>
            </w:pPr>
            <w:r>
              <w:rPr>
                <w:rFonts w:ascii="Arial" w:hAnsi="Arial"/>
                <w:b/>
                <w:i w:val="0"/>
                <w:color w:val="1A1A2E"/>
                <w:sz w:val="19"/>
              </w:rPr>
              <w:t xml:space="preserve">How it applies.  </w:t>
            </w:r>
            <w:r>
              <w:rPr>
                <w:rFonts w:ascii="Arial" w:hAnsi="Arial"/>
                <w:b w:val="0"/>
                <w:i w:val="0"/>
                <w:color w:val="2D2D2D"/>
                <w:sz w:val="19"/>
              </w:rPr>
              <w:t>This is the factory behind Pillars 1–2: blogs, AI-search content, videos and social produced at scale while the team manages quality, not keystrokes.</w:t>
            </w:r>
          </w:p>
        </w:tc>
      </w:tr>
    </w:tbl>
    <w:p>
      <w:pPr>
        <w:spacing w:after="140"/>
      </w:pPr>
    </w:p>
    <w:tbl>
      <w:tblPr>
        <w:tblW w:type="auto" w:w="0"/>
        <w:jc w:val="center"/>
        <w:tblLook w:firstColumn="1" w:firstRow="1" w:lastColumn="0" w:lastRow="0" w:noHBand="0" w:noVBand="1" w:val="04A0"/>
      </w:tblPr>
      <w:tblGrid>
        <w:gridCol w:w="9648"/>
      </w:tblGrid>
      <w:tr>
        <w:trPr>
          <w:cantSplit w:val="true"/>
        </w:trPr>
        <w:tc>
          <w:tcPr>
            <w:tcW w:type="dxa" w:w="9648"/>
            <w:shd w:val="clear" w:color="auto" w:fill="F4F6F8"/>
            <w:tcBorders>
              <w:top w:val="single" w:sz="4" w:space="0" w:color="E9ECEF"/>
              <w:bottom w:val="single" w:sz="4" w:space="0" w:color="E9ECEF"/>
              <w:right w:val="single" w:sz="4" w:space="0" w:color="E9ECEF"/>
              <w:left w:val="single" w:sz="28" w:space="0" w:color="F67D4B"/>
            </w:tcBorders>
            <w:tcMar>
              <w:top w:w="90" w:type="dxa"/>
              <w:bottom w:w="90" w:type="dxa"/>
              <w:left w:w="160" w:type="dxa"/>
              <w:right w:w="140" w:type="dxa"/>
            </w:tcMar>
          </w:tcPr>
          <w:p>
            <w:pPr>
              <w:spacing w:after="60"/>
            </w:pPr>
            <w:r/>
            <w:r>
              <w:rPr>
                <w:rFonts w:ascii="Arial" w:hAnsi="Arial"/>
                <w:b/>
                <w:i w:val="0"/>
                <w:color w:val="F67D4B"/>
                <w:sz w:val="21"/>
              </w:rPr>
              <w:t>Proven build — AI Document Intelligence (RFPs: days → minutes)</w:t>
            </w:r>
          </w:p>
          <w:p>
            <w:pPr>
              <w:spacing w:after="40" w:line="283" w:lineRule="auto"/>
            </w:pPr>
            <w:r>
              <w:rPr>
                <w:rFonts w:ascii="Arial" w:hAnsi="Arial"/>
                <w:b/>
                <w:i w:val="0"/>
                <w:color w:val="1A1A2E"/>
                <w:sz w:val="19"/>
              </w:rPr>
              <w:t xml:space="preserve">What we built.  </w:t>
            </w:r>
            <w:r>
              <w:rPr>
                <w:rFonts w:ascii="Arial" w:hAnsi="Arial"/>
                <w:b w:val="0"/>
                <w:i w:val="0"/>
                <w:color w:val="2D2D2D"/>
                <w:sz w:val="19"/>
              </w:rPr>
              <w:t>AI that auto-populates complex vendor questionnaires for FINRA broker-dealers — RFP responses cut from days to minutes, 60–80% less manual review.</w:t>
            </w:r>
          </w:p>
          <w:p>
            <w:pPr>
              <w:spacing w:after="40" w:line="283" w:lineRule="auto"/>
            </w:pPr>
            <w:r>
              <w:rPr>
                <w:rFonts w:ascii="Arial" w:hAnsi="Arial"/>
                <w:b/>
                <w:i w:val="0"/>
                <w:color w:val="1A1A2E"/>
                <w:sz w:val="19"/>
              </w:rPr>
              <w:t xml:space="preserve">How it applies.  </w:t>
            </w:r>
            <w:r>
              <w:rPr>
                <w:rFonts w:ascii="Arial" w:hAnsi="Arial"/>
                <w:b w:val="0"/>
                <w:i w:val="0"/>
                <w:color w:val="2D2D2D"/>
                <w:sz w:val="19"/>
              </w:rPr>
              <w:t>This is the engine behind the government/RFP play (Pillar 3) and the credit-process acceleration (Pillar 4) — the same document-AI, pointed at fuel bids and credit packets.</w:t>
            </w:r>
          </w:p>
        </w:tc>
      </w:tr>
    </w:tbl>
    <w:p>
      <w:pPr>
        <w:spacing w:after="140"/>
      </w:pPr>
    </w:p>
    <w:p>
      <w:pPr>
        <w:pStyle w:val="Heading2"/>
      </w:pPr>
      <w:r>
        <w:rPr>
          <w:rFonts w:ascii="Arial" w:hAnsi="Arial"/>
          <w:b/>
          <w:i w:val="0"/>
          <w:color w:val="1A1A2E"/>
          <w:sz w:val="25"/>
        </w:rPr>
        <w:t>Pillar 1 — AI-Driven SEO &amp; GEO (get found, by people and by AI)</w:t>
      </w:r>
    </w:p>
    <w:p>
      <w:pPr>
        <w:spacing w:after="120"/>
      </w:pPr>
      <w:r>
        <w:rPr>
          <w:rFonts w:ascii="Arial" w:hAnsi="Arial"/>
          <w:b w:val="0"/>
          <w:i w:val="0"/>
          <w:color w:val="2D2D2D"/>
          <w:sz w:val="21"/>
        </w:rPr>
        <w:t>Fix the audit gaps and make SC Fuels the cited answer in both Google and AI search.</w:t>
      </w:r>
    </w:p>
    <w:p>
      <w:pPr>
        <w:pStyle w:val="ListBullet"/>
        <w:spacing w:after="60" w:line="283" w:lineRule="auto"/>
      </w:pPr>
      <w:r>
        <w:rPr>
          <w:rFonts w:ascii="Arial" w:hAnsi="Arial"/>
          <w:b/>
          <w:i w:val="0"/>
          <w:color w:val="1A1A2E"/>
          <w:sz w:val="20"/>
        </w:rPr>
        <w:t xml:space="preserve">AI-readability.  </w:t>
      </w:r>
      <w:r>
        <w:rPr>
          <w:rFonts w:ascii="Arial" w:hAnsi="Arial"/>
          <w:b w:val="0"/>
          <w:i w:val="0"/>
          <w:color w:val="2D2D2D"/>
          <w:sz w:val="20"/>
        </w:rPr>
        <w:t>Author and maintain /llms.txt and migrate business-critical copy to static HTML so AI crawlers can read it — directly fixing the Grade-F GEO.</w:t>
      </w:r>
    </w:p>
    <w:p>
      <w:pPr>
        <w:pStyle w:val="ListBullet"/>
        <w:spacing w:after="60" w:line="283" w:lineRule="auto"/>
      </w:pPr>
      <w:r>
        <w:rPr>
          <w:rFonts w:ascii="Arial" w:hAnsi="Arial"/>
          <w:b/>
          <w:i w:val="0"/>
          <w:color w:val="1A1A2E"/>
          <w:sz w:val="20"/>
        </w:rPr>
        <w:t xml:space="preserve">AI-search content.  </w:t>
      </w:r>
      <w:r>
        <w:rPr>
          <w:rFonts w:ascii="Arial" w:hAnsi="Arial"/>
          <w:b w:val="0"/>
          <w:i w:val="0"/>
          <w:color w:val="2D2D2D"/>
          <w:sz w:val="20"/>
        </w:rPr>
        <w:t>FAQ-schema pages and Q&amp;A-style content for the questions buyers actually ask (“how does cardlock fueling work?”, “what states does SC Fuels serve?”) — the format AI Overviews cite.</w:t>
      </w:r>
    </w:p>
    <w:p>
      <w:pPr>
        <w:pStyle w:val="ListBullet"/>
        <w:spacing w:after="60" w:line="283" w:lineRule="auto"/>
      </w:pPr>
      <w:r>
        <w:rPr>
          <w:rFonts w:ascii="Arial" w:hAnsi="Arial"/>
          <w:b/>
          <w:i w:val="0"/>
          <w:color w:val="1A1A2E"/>
          <w:sz w:val="20"/>
        </w:rPr>
        <w:t xml:space="preserve">Scale content.  </w:t>
      </w:r>
      <w:r>
        <w:rPr>
          <w:rFonts w:ascii="Arial" w:hAnsi="Arial"/>
          <w:b w:val="0"/>
          <w:i w:val="0"/>
          <w:color w:val="2D2D2D"/>
          <w:sz w:val="20"/>
        </w:rPr>
        <w:t>Target the 5,400 near-miss keywords and the service-area pages for 15 states with AI-accelerated, human-reviewed content — grow non-branded traffic past 50%.</w:t>
      </w:r>
    </w:p>
    <w:p>
      <w:pPr>
        <w:pStyle w:val="ListBullet"/>
        <w:spacing w:after="60" w:line="283" w:lineRule="auto"/>
      </w:pPr>
      <w:r>
        <w:rPr>
          <w:rFonts w:ascii="Arial" w:hAnsi="Arial"/>
          <w:b/>
          <w:i w:val="0"/>
          <w:color w:val="1A1A2E"/>
          <w:sz w:val="20"/>
        </w:rPr>
        <w:t xml:space="preserve">Technijian service.  </w:t>
      </w:r>
      <w:r>
        <w:rPr>
          <w:rFonts w:ascii="Arial" w:hAnsi="Arial"/>
          <w:b w:val="0"/>
          <w:i w:val="0"/>
          <w:color w:val="59595B"/>
          <w:sz w:val="20"/>
        </w:rPr>
        <w:t>Maps to My SEO (Tiers 2–3) + the AI Search Optimization add-on.</w:t>
      </w:r>
    </w:p>
    <w:p>
      <w:pPr>
        <w:pStyle w:val="Heading2"/>
      </w:pPr>
      <w:r>
        <w:rPr>
          <w:rFonts w:ascii="Arial" w:hAnsi="Arial"/>
          <w:b/>
          <w:i w:val="0"/>
          <w:color w:val="1A1A2E"/>
          <w:sz w:val="25"/>
        </w:rPr>
        <w:t>Pillar 2 — AI-Driven Content &amp; Social (reach the younger buyer)</w:t>
      </w:r>
    </w:p>
    <w:p>
      <w:pPr>
        <w:spacing w:after="120"/>
      </w:pPr>
      <w:r>
        <w:rPr>
          <w:rFonts w:ascii="Arial" w:hAnsi="Arial"/>
          <w:b w:val="0"/>
          <w:i w:val="0"/>
          <w:color w:val="2D2D2D"/>
          <w:sz w:val="21"/>
        </w:rPr>
        <w:t>Answer Derek’s generational-shift question directly — meet buyers on social, video and audio. SC Fuels already holds the channels (verified June 2026: ~6,300 LinkedIn followers plus active YouTube, Facebook, Instagram, and X accounts) — what is missing is a consistent, AI-fed content cadence to make them work. This pillar activates existing channels rather than starting from zero.</w:t>
      </w:r>
    </w:p>
    <w:p>
      <w:pPr>
        <w:pStyle w:val="ListBullet"/>
        <w:spacing w:after="60" w:line="283" w:lineRule="auto"/>
      </w:pPr>
      <w:r>
        <w:rPr>
          <w:rFonts w:ascii="Arial" w:hAnsi="Arial"/>
          <w:b/>
          <w:i w:val="0"/>
          <w:color w:val="1A1A2E"/>
          <w:sz w:val="20"/>
        </w:rPr>
        <w:t xml:space="preserve">Blog → video → social → podcast factory.  </w:t>
      </w:r>
      <w:r>
        <w:rPr>
          <w:rFonts w:ascii="Arial" w:hAnsi="Arial"/>
          <w:b w:val="0"/>
          <w:i w:val="0"/>
          <w:color w:val="2D2D2D"/>
          <w:sz w:val="20"/>
        </w:rPr>
        <w:t>One source blog becomes a video (AI presenter), short social clips, a two-person podcast, and syndicated posts — across YouTube, LinkedIn, TikTok, Instagram, Facebook, Spotify and Apple.</w:t>
      </w:r>
    </w:p>
    <w:p>
      <w:pPr>
        <w:pStyle w:val="ListBullet"/>
        <w:spacing w:after="60" w:line="283" w:lineRule="auto"/>
      </w:pPr>
      <w:r>
        <w:rPr>
          <w:rFonts w:ascii="Arial" w:hAnsi="Arial"/>
          <w:b/>
          <w:i w:val="0"/>
          <w:color w:val="1A1A2E"/>
          <w:sz w:val="20"/>
        </w:rPr>
        <w:t xml:space="preserve">Authority &amp; syndication.  </w:t>
      </w:r>
      <w:r>
        <w:rPr>
          <w:rFonts w:ascii="Arial" w:hAnsi="Arial"/>
          <w:b w:val="0"/>
          <w:i w:val="0"/>
          <w:color w:val="2D2D2D"/>
          <w:sz w:val="20"/>
        </w:rPr>
        <w:t>PR + syndication to authority outlets builds backlink reputation; quarterly announcements get distributed for real reach.</w:t>
      </w:r>
    </w:p>
    <w:p>
      <w:pPr>
        <w:pStyle w:val="ListBullet"/>
        <w:spacing w:after="60" w:line="283" w:lineRule="auto"/>
      </w:pPr>
      <w:r>
        <w:rPr>
          <w:rFonts w:ascii="Arial" w:hAnsi="Arial"/>
          <w:b/>
          <w:i w:val="0"/>
          <w:color w:val="1A1A2E"/>
          <w:sz w:val="20"/>
        </w:rPr>
        <w:t xml:space="preserve">Paid amplification.  </w:t>
      </w:r>
      <w:r>
        <w:rPr>
          <w:rFonts w:ascii="Arial" w:hAnsi="Arial"/>
          <w:b w:val="0"/>
          <w:i w:val="0"/>
          <w:color w:val="2D2D2D"/>
          <w:sz w:val="20"/>
        </w:rPr>
        <w:t>Paid Google + Meta management runs the commercial-keyword PPC the audit calls for (Section 6).</w:t>
      </w:r>
    </w:p>
    <w:p>
      <w:pPr>
        <w:pStyle w:val="ListBullet"/>
        <w:spacing w:after="60" w:line="283" w:lineRule="auto"/>
      </w:pPr>
      <w:r>
        <w:rPr>
          <w:rFonts w:ascii="Arial" w:hAnsi="Arial"/>
          <w:b/>
          <w:i w:val="0"/>
          <w:color w:val="1A1A2E"/>
          <w:sz w:val="20"/>
        </w:rPr>
        <w:t xml:space="preserve">Technijian service.  </w:t>
      </w:r>
      <w:r>
        <w:rPr>
          <w:rFonts w:ascii="Arial" w:hAnsi="Arial"/>
          <w:b w:val="0"/>
          <w:i w:val="0"/>
          <w:color w:val="59595B"/>
          <w:sz w:val="20"/>
        </w:rPr>
        <w:t>Maps to My SEO (Tiers 4–5: videos + viral clips) + Content Syndication + PR Releases + DMA paid-ads.</w:t>
      </w:r>
    </w:p>
    <w:p>
      <w:pPr>
        <w:pStyle w:val="Heading2"/>
      </w:pPr>
      <w:r>
        <w:rPr>
          <w:rFonts w:ascii="Arial" w:hAnsi="Arial"/>
          <w:b/>
          <w:i w:val="0"/>
          <w:color w:val="1A1A2E"/>
          <w:sz w:val="25"/>
        </w:rPr>
        <w:t>Pillar 3 — AI Lead Generation / Outbound (warmer leads, no new headcount)</w:t>
      </w:r>
    </w:p>
    <w:p>
      <w:pPr>
        <w:spacing w:after="120"/>
      </w:pPr>
      <w:r>
        <w:rPr>
          <w:rFonts w:ascii="Arial" w:hAnsi="Arial"/>
          <w:b w:val="0"/>
          <w:i w:val="0"/>
          <w:color w:val="2D2D2D"/>
          <w:sz w:val="21"/>
        </w:rPr>
        <w:t>This is net-new — WebFX does not do it. It is how you “add business without adding salespeople.”</w:t>
      </w:r>
    </w:p>
    <w:p>
      <w:pPr>
        <w:pStyle w:val="ListBullet"/>
        <w:spacing w:after="60" w:line="283" w:lineRule="auto"/>
      </w:pPr>
      <w:r>
        <w:rPr>
          <w:rFonts w:ascii="Arial" w:hAnsi="Arial"/>
          <w:b/>
          <w:i w:val="0"/>
          <w:color w:val="1A1A2E"/>
          <w:sz w:val="20"/>
        </w:rPr>
        <w:t xml:space="preserve">ICP scoring.  </w:t>
      </w:r>
      <w:r>
        <w:rPr>
          <w:rFonts w:ascii="Arial" w:hAnsi="Arial"/>
          <w:b w:val="0"/>
          <w:i w:val="0"/>
          <w:color w:val="2D2D2D"/>
          <w:sz w:val="20"/>
        </w:rPr>
        <w:t>AI scans public sources, scores prospects against your ICP, and sorts them into hot / warm / watch lists — the same pattern that produced 50 hot leads for another Technijian client from city plan-check data. For SC Fuels it augments FleetSeek and InsightView rather than replacing them.</w:t>
      </w:r>
    </w:p>
    <w:p>
      <w:pPr>
        <w:pStyle w:val="ListBullet"/>
        <w:spacing w:after="60" w:line="283" w:lineRule="auto"/>
      </w:pPr>
      <w:r>
        <w:rPr>
          <w:rFonts w:ascii="Arial" w:hAnsi="Arial"/>
          <w:b/>
          <w:i w:val="0"/>
          <w:color w:val="1A1A2E"/>
          <w:sz w:val="20"/>
        </w:rPr>
        <w:t xml:space="preserve">Personalized outreach.  </w:t>
      </w:r>
      <w:r>
        <w:rPr>
          <w:rFonts w:ascii="Arial" w:hAnsi="Arial"/>
          <w:b w:val="0"/>
          <w:i w:val="0"/>
          <w:color w:val="2D2D2D"/>
          <w:sz w:val="20"/>
        </w:rPr>
        <w:t>Each rep gets customized, one-to-one outreach drafts (not blast email) — the engine personalizes per company and reason-to-buy, at a volume a person can’t match by hand.</w:t>
      </w:r>
    </w:p>
    <w:p>
      <w:pPr>
        <w:pStyle w:val="ListBullet"/>
        <w:spacing w:after="60" w:line="283" w:lineRule="auto"/>
      </w:pPr>
      <w:r>
        <w:rPr>
          <w:rFonts w:ascii="Arial" w:hAnsi="Arial"/>
          <w:b/>
          <w:i w:val="0"/>
          <w:color w:val="1A1A2E"/>
          <w:sz w:val="20"/>
        </w:rPr>
        <w:t xml:space="preserve">Government / RFP automation.  </w:t>
      </w:r>
      <w:r>
        <w:rPr>
          <w:rFonts w:ascii="Arial" w:hAnsi="Arial"/>
          <w:b w:val="0"/>
          <w:i w:val="0"/>
          <w:color w:val="2D2D2D"/>
          <w:sz w:val="20"/>
        </w:rPr>
        <w:t>AI discovers relevant municipal/government RFPs and auto-drafts responses — letting SC Fuels compete on more bids with the same team, and chip at the incumbent-favored RFP problem Derek named.</w:t>
      </w:r>
    </w:p>
    <w:p>
      <w:pPr>
        <w:pStyle w:val="ListBullet"/>
        <w:spacing w:after="60" w:line="283" w:lineRule="auto"/>
      </w:pPr>
      <w:r>
        <w:rPr>
          <w:rFonts w:ascii="Arial" w:hAnsi="Arial"/>
          <w:b/>
          <w:i w:val="0"/>
          <w:color w:val="1A1A2E"/>
          <w:sz w:val="20"/>
        </w:rPr>
        <w:t xml:space="preserve">Technijian service.  </w:t>
      </w:r>
      <w:r>
        <w:rPr>
          <w:rFonts w:ascii="Arial" w:hAnsi="Arial"/>
          <w:b w:val="0"/>
          <w:i w:val="0"/>
          <w:color w:val="59595B"/>
          <w:sz w:val="20"/>
        </w:rPr>
        <w:t>Maps to My AI Lead Gen (Starter / Professional / Enterprise). The CRM-sync tiers push scored leads straight into Salesforce.</w:t>
      </w:r>
    </w:p>
    <w:p>
      <w:pPr>
        <w:pStyle w:val="Heading2"/>
      </w:pPr>
      <w:r>
        <w:rPr>
          <w:rFonts w:ascii="Arial" w:hAnsi="Arial"/>
          <w:b/>
          <w:i w:val="0"/>
          <w:color w:val="1A1A2E"/>
          <w:sz w:val="25"/>
        </w:rPr>
        <w:t>Pillar 4 — AI Consulting &amp; Internal AI (multiply the salesperson)</w:t>
      </w:r>
    </w:p>
    <w:p>
      <w:pPr>
        <w:spacing w:after="120"/>
      </w:pPr>
      <w:r>
        <w:rPr>
          <w:rFonts w:ascii="Arial" w:hAnsi="Arial"/>
          <w:b w:val="0"/>
          <w:i w:val="0"/>
          <w:color w:val="2D2D2D"/>
          <w:sz w:val="21"/>
        </w:rPr>
        <w:t>Give each rep “ten assistants” so one person covers 2–4× the accounts — and match Pilot’s 27 → 3 day onboarding win.</w:t>
      </w:r>
    </w:p>
    <w:p>
      <w:pPr>
        <w:pStyle w:val="ListBullet"/>
        <w:spacing w:after="60" w:line="283" w:lineRule="auto"/>
      </w:pPr>
      <w:r>
        <w:rPr>
          <w:rFonts w:ascii="Arial" w:hAnsi="Arial"/>
          <w:b/>
          <w:i w:val="0"/>
          <w:color w:val="1A1A2E"/>
          <w:sz w:val="20"/>
        </w:rPr>
        <w:t xml:space="preserve">Salesforce opportunity progression.  </w:t>
      </w:r>
      <w:r>
        <w:rPr>
          <w:rFonts w:ascii="Arial" w:hAnsi="Arial"/>
          <w:b w:val="0"/>
          <w:i w:val="0"/>
          <w:color w:val="2D2D2D"/>
          <w:sz w:val="20"/>
        </w:rPr>
        <w:t>AI that watches Salesforce and pushes opportunities through the path — next-best-action, stalled-deal alerts, auto-summaries — tying InsightView + FleetSeek + Salesforce together (Derek’s explicit ask).</w:t>
      </w:r>
    </w:p>
    <w:p>
      <w:pPr>
        <w:pStyle w:val="ListBullet"/>
        <w:spacing w:after="60" w:line="283" w:lineRule="auto"/>
      </w:pPr>
      <w:r>
        <w:rPr>
          <w:rFonts w:ascii="Arial" w:hAnsi="Arial"/>
          <w:b/>
          <w:i w:val="0"/>
          <w:color w:val="1A1A2E"/>
          <w:sz w:val="20"/>
        </w:rPr>
        <w:t xml:space="preserve">Credit-process acceleration.  </w:t>
      </w:r>
      <w:r>
        <w:rPr>
          <w:rFonts w:ascii="Arial" w:hAnsi="Arial"/>
          <w:b w:val="0"/>
          <w:i w:val="0"/>
          <w:color w:val="2D2D2D"/>
          <w:sz w:val="20"/>
        </w:rPr>
        <w:t>AI-assisted credit intake and decision support — faster, more consistent yes/no, less manual review (the tool Derek said he’d love).</w:t>
      </w:r>
    </w:p>
    <w:p>
      <w:pPr>
        <w:pStyle w:val="ListBullet"/>
        <w:spacing w:after="60" w:line="283" w:lineRule="auto"/>
      </w:pPr>
      <w:r>
        <w:rPr>
          <w:rFonts w:ascii="Arial" w:hAnsi="Arial"/>
          <w:b/>
          <w:i w:val="0"/>
          <w:color w:val="1A1A2E"/>
          <w:sz w:val="20"/>
        </w:rPr>
        <w:t xml:space="preserve">Advisory.  </w:t>
      </w:r>
      <w:r>
        <w:rPr>
          <w:rFonts w:ascii="Arial" w:hAnsi="Arial"/>
          <w:b w:val="0"/>
          <w:i w:val="0"/>
          <w:color w:val="2D2D2D"/>
          <w:sz w:val="20"/>
        </w:rPr>
        <w:t>An AI strategy roadmap, executive workshop, and a fractional AI advisor so the wins compound and the team is enabled, not bypassed.</w:t>
      </w:r>
    </w:p>
    <w:p>
      <w:pPr>
        <w:pStyle w:val="ListBullet"/>
        <w:spacing w:after="60" w:line="283" w:lineRule="auto"/>
      </w:pPr>
      <w:r>
        <w:rPr>
          <w:rFonts w:ascii="Arial" w:hAnsi="Arial"/>
          <w:b/>
          <w:i w:val="0"/>
          <w:color w:val="1A1A2E"/>
          <w:sz w:val="20"/>
        </w:rPr>
        <w:t xml:space="preserve">Technijian service.  </w:t>
      </w:r>
      <w:r>
        <w:rPr>
          <w:rFonts w:ascii="Arial" w:hAnsi="Arial"/>
          <w:b w:val="0"/>
          <w:i w:val="0"/>
          <w:color w:val="59595B"/>
          <w:sz w:val="20"/>
        </w:rPr>
        <w:t>Maps to My AI (Strategy, Executive Workshop, Fractional Advisor) + My Dev for custom builds (new AI-ready website, credit &amp; CRM automation). Scoped at discovery.</w:t>
      </w:r>
    </w:p>
    <w:p>
      <w:pPr>
        <w:spacing w:after="120"/>
      </w:pPr>
    </w:p>
    <w:p>
      <w:pPr>
        <w:pStyle w:val="Heading2"/>
      </w:pPr>
      <w:r>
        <w:rPr>
          <w:rFonts w:ascii="Arial" w:hAnsi="Arial"/>
          <w:b/>
          <w:i w:val="0"/>
          <w:color w:val="1A1A2E"/>
          <w:sz w:val="25"/>
        </w:rPr>
        <w:t>Inside SC Fuels — where internal AI cuts cost and recovers hours</w:t>
      </w:r>
    </w:p>
    <w:p>
      <w:pPr>
        <w:spacing w:after="120"/>
      </w:pPr>
      <w:r>
        <w:rPr>
          <w:rFonts w:ascii="Arial" w:hAnsi="Arial"/>
          <w:b w:val="0"/>
          <w:i w:val="0"/>
          <w:color w:val="2D2D2D"/>
          <w:sz w:val="21"/>
        </w:rPr>
        <w:t>Pillar 4 is not abstract. SC Fuels runs on a set of repeatable internal workflows — dispatch, credit, billing, compliance, RFPs, and acquisition onboarding — that today lean on people moving information by hand between FleetSeek, InsightView, Salesforce, the portal, and spreadsheets. Each is a place AI removes cost and recovers hours, independent of any new revenue. The right-hand column is a system Technijian has already built and run for a real client, so these are proven patterns, not theory.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3184"/>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7"/>
              </w:rPr>
              <w:t>SC Fuels workflow today</w:t>
            </w:r>
          </w:p>
        </w:tc>
        <w:tc>
          <w:tcPr>
            <w:tcW w:type="dxa" w:w="3280"/>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7"/>
              </w:rPr>
              <w:t>AI integration</w:t>
            </w:r>
          </w:p>
        </w:tc>
        <w:tc>
          <w:tcPr>
            <w:tcW w:type="dxa" w:w="3184"/>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7"/>
              </w:rPr>
              <w:t>Proven Technijian result</w:t>
            </w:r>
          </w:p>
        </w:tc>
      </w:tr>
      <w:tr>
        <w:trPr>
          <w:cantSplit w:val="true"/>
        </w:trPr>
        <w:tc>
          <w:tcPr>
            <w:tcW w:type="dxa" w:w="318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7"/>
              </w:rPr>
              <w:t>Credit intake &amp; decisioning — manual review of new commercial accounts; Derek named this as a process he wants refined</w:t>
            </w:r>
          </w:p>
        </w:tc>
        <w:tc>
          <w:tcPr>
            <w:tcW w:type="dxa" w:w="328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7"/>
              </w:rPr>
              <w:t>AI-assisted credit packets: pull and summarize the application, flag risk, draft a consistent yes/no recommendation for a human to approve</w:t>
            </w:r>
          </w:p>
        </w:tc>
        <w:tc>
          <w:tcPr>
            <w:tcW w:type="dxa" w:w="318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7"/>
              </w:rPr>
              <w:t>AI document intelligence cut complex questionnaire turnaround from days to minutes with 60–80% less manual review</w:t>
            </w:r>
          </w:p>
        </w:tc>
      </w:tr>
      <w:tr>
        <w:trPr>
          <w:cantSplit w:val="true"/>
        </w:trPr>
        <w:tc>
          <w:tcPr>
            <w:tcW w:type="dxa" w:w="318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7"/>
              </w:rPr>
              <w:t>Municipal / fleet RFP response — incumbent-favored bids answered by hand; Derek called the government sector a “glaring hole”</w:t>
            </w:r>
          </w:p>
        </w:tc>
        <w:tc>
          <w:tcPr>
            <w:tcW w:type="dxa" w:w="328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7"/>
              </w:rPr>
              <w:t>AI discovers relevant RFPs and auto-drafts responses from a reusable answer library — so the same team competes on far more bids</w:t>
            </w:r>
          </w:p>
        </w:tc>
        <w:tc>
          <w:tcPr>
            <w:tcW w:type="dxa" w:w="318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7"/>
              </w:rPr>
              <w:t>Same document-AI engine auto-populates vendor due-diligence in minutes; lets a lean team respond to more bids, faster</w:t>
            </w:r>
          </w:p>
        </w:tc>
      </w:tr>
      <w:tr>
        <w:trPr>
          <w:cantSplit w:val="true"/>
        </w:trPr>
        <w:tc>
          <w:tcPr>
            <w:tcW w:type="dxa" w:w="318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7"/>
              </w:rPr>
              <w:t>Salesforce opportunity progression — deals stall; InsightView, FleetSeek and Salesforce are not tied together</w:t>
            </w:r>
          </w:p>
        </w:tc>
        <w:tc>
          <w:tcPr>
            <w:tcW w:type="dxa" w:w="328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7"/>
              </w:rPr>
              <w:t>AI watches the pipeline: next-best-action, stalled-deal alerts, auto-summaries — so one rep covers 2–4× the accounts</w:t>
            </w:r>
          </w:p>
        </w:tc>
        <w:tc>
          <w:tcPr>
            <w:tcW w:type="dxa" w:w="318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7"/>
              </w:rPr>
              <w:t>AI lead-scoring engine sorted prospects into hot/warm/watch and produced 50 hot leads for a client from public data alone</w:t>
            </w:r>
          </w:p>
        </w:tc>
      </w:tr>
      <w:tr>
        <w:trPr>
          <w:cantSplit w:val="true"/>
        </w:trPr>
        <w:tc>
          <w:tcPr>
            <w:tcW w:type="dxa" w:w="318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7"/>
              </w:rPr>
              <w:t>LCFS / RIN / IFTA &amp; renewable-fuel compliance — recurring regulatory paperwork assembled manually across 15 states</w:t>
            </w:r>
          </w:p>
        </w:tc>
        <w:tc>
          <w:tcPr>
            <w:tcW w:type="dxa" w:w="328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7"/>
              </w:rPr>
              <w:t>Compliance automation turns recurring filings into a scheduled job: data pulled, forms drafted, audit-ready records generated</w:t>
            </w:r>
          </w:p>
        </w:tc>
        <w:tc>
          <w:tcPr>
            <w:tcW w:type="dxa" w:w="318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7"/>
              </w:rPr>
              <w:t>Custom AI-native apps (My Dev) delivered 3–5× faster turn recurring paperwork into automated, scheduled workflows</w:t>
            </w:r>
          </w:p>
        </w:tc>
      </w:tr>
      <w:tr>
        <w:trPr>
          <w:cantSplit w:val="true"/>
        </w:trPr>
        <w:tc>
          <w:tcPr>
            <w:tcW w:type="dxa" w:w="318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7"/>
              </w:rPr>
              <w:t>Customer portal &amp; service — 11,000+ accounts call/email for rebates, e-receipts, quotes, and order status</w:t>
            </w:r>
          </w:p>
        </w:tc>
        <w:tc>
          <w:tcPr>
            <w:tcW w:type="dxa" w:w="328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7"/>
              </w:rPr>
              <w:t>AI assistant on the existing portal: self-serve quoting, account questions, and keep-full/reorder prompts without a phone call</w:t>
            </w:r>
          </w:p>
        </w:tc>
        <w:tc>
          <w:tcPr>
            <w:tcW w:type="dxa" w:w="318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7"/>
              </w:rPr>
              <w:t>AI-native portal builds with an embedded assistant cut self-serve friction and deflect routine support contacts</w:t>
            </w:r>
          </w:p>
        </w:tc>
      </w:tr>
      <w:tr>
        <w:trPr>
          <w:cantSplit w:val="true"/>
        </w:trPr>
        <w:tc>
          <w:tcPr>
            <w:tcW w:type="dxa" w:w="318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7"/>
              </w:rPr>
              <w:t>Acquisition onboarding — integrating Downs (2025) and Lutz (2025) customers, cards, and SOPs into SC Fuels systems</w:t>
            </w:r>
          </w:p>
        </w:tc>
        <w:tc>
          <w:tcPr>
            <w:tcW w:type="dxa" w:w="328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7"/>
              </w:rPr>
              <w:t>Knowledge system captures process and account data into a searchable AI layer, so each integration ramps in weeks, not quarters</w:t>
            </w:r>
          </w:p>
        </w:tc>
        <w:tc>
          <w:tcPr>
            <w:tcW w:type="dxa" w:w="318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7"/>
              </w:rPr>
              <w:t>Knowledge-graph build captured years of institutional process into one searchable AI assistant for a knowledge-heavy operation</w:t>
            </w:r>
          </w:p>
        </w:tc>
      </w:tr>
    </w:tbl>
    <w:p>
      <w:pPr>
        <w:spacing w:after="120"/>
      </w:pPr>
    </w:p>
    <w:p>
      <w:pPr>
        <w:spacing w:after="80"/>
      </w:pPr>
    </w:p>
    <w:p>
      <w:pPr>
        <w:spacing w:after="120"/>
      </w:pPr>
      <w:r>
        <w:rPr>
          <w:rFonts w:ascii="Arial" w:hAnsi="Arial"/>
          <w:b/>
          <w:i w:val="0"/>
          <w:color w:val="1A1A2E"/>
          <w:sz w:val="21"/>
        </w:rPr>
        <w:t xml:space="preserve">In plain numbers.  </w:t>
      </w:r>
      <w:r>
        <w:rPr>
          <w:rFonts w:ascii="Arial" w:hAnsi="Arial"/>
          <w:b w:val="0"/>
          <w:i w:val="0"/>
          <w:color w:val="2D2D2D"/>
          <w:sz w:val="21"/>
        </w:rPr>
        <w:t>What it adds up to (conservative — confirm against real volumes at discovery):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4"/>
        <w:gridCol w:w="4824"/>
      </w:tblGrid>
      <w:tr>
        <w:trPr>
          <w:cantSplit w:val="true"/>
        </w:trPr>
        <w:tc>
          <w:tcPr>
            <w:tcW w:type="dxa" w:w="4245"/>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Efficiency lever</w:t>
            </w:r>
          </w:p>
        </w:tc>
        <w:tc>
          <w:tcPr>
            <w:tcW w:type="dxa" w:w="540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Conservative impact</w:t>
            </w:r>
          </w:p>
        </w:tc>
      </w:tr>
      <w:tr>
        <w:trPr>
          <w:cantSplit w:val="true"/>
        </w:trPr>
        <w:tc>
          <w:tcPr>
            <w:tcW w:type="dxa" w:w="424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Rep hours recovered from credit, RFP, and Salesforce automation</w:t>
            </w:r>
          </w:p>
        </w:tc>
        <w:tc>
          <w:tcPr>
            <w:tcW w:type="dxa" w:w="540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Each rep covers 2–4× the accounts — Derek’s core goal — with no new headcount</w:t>
            </w:r>
          </w:p>
        </w:tc>
      </w:tr>
      <w:tr>
        <w:trPr>
          <w:cantSplit w:val="true"/>
        </w:trPr>
        <w:tc>
          <w:tcPr>
            <w:tcW w:type="dxa" w:w="4245"/>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Faster credit decisions and account activation</w:t>
            </w:r>
          </w:p>
        </w:tc>
        <w:tc>
          <w:tcPr>
            <w:tcW w:type="dxa" w:w="540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Match the kind of win Pilot already booked: new-customer onboarding 27 days → 3 days</w:t>
            </w:r>
          </w:p>
        </w:tc>
      </w:tr>
      <w:tr>
        <w:trPr>
          <w:cantSplit w:val="true"/>
        </w:trPr>
        <w:tc>
          <w:tcPr>
            <w:tcW w:type="dxa" w:w="424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More bids answered with the same team</w:t>
            </w:r>
          </w:p>
        </w:tc>
        <w:tc>
          <w:tcPr>
            <w:tcW w:type="dxa" w:w="540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Every incremental fleet/municipal win is six figures in lifetime account value</w:t>
            </w:r>
          </w:p>
        </w:tc>
      </w:tr>
      <w:tr>
        <w:trPr>
          <w:cantSplit w:val="true"/>
        </w:trPr>
        <w:tc>
          <w:tcPr>
            <w:tcW w:type="dxa" w:w="4245"/>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Compliance paperwork (LCFS / RIN / IFTA) automated</w:t>
            </w:r>
          </w:p>
        </w:tc>
        <w:tc>
          <w:tcPr>
            <w:tcW w:type="dxa" w:w="540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Hundreds of staff hours/year redirected, with lower audit and penalty exposure</w:t>
            </w:r>
          </w:p>
        </w:tc>
      </w:tr>
      <w:tr>
        <w:trPr>
          <w:cantSplit w:val="true"/>
        </w:trPr>
        <w:tc>
          <w:tcPr>
            <w:tcW w:type="dxa" w:w="4245"/>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Routine portal/support contacts deflected</w:t>
            </w:r>
          </w:p>
        </w:tc>
        <w:tc>
          <w:tcPr>
            <w:tcW w:type="dxa" w:w="540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Service staff time redirected from order-status calls to higher-value account work</w:t>
            </w:r>
          </w:p>
        </w:tc>
      </w:tr>
    </w:tbl>
    <w:p>
      <w:pPr>
        <w:spacing w:after="120"/>
      </w:pPr>
    </w:p>
    <w:tbl>
      <w:tblPr>
        <w:tblW w:type="auto" w:w="0"/>
        <w:jc w:val="center"/>
        <w:tblLook w:firstColumn="1" w:firstRow="1" w:lastColumn="0" w:lastRow="0" w:noHBand="0" w:noVBand="1" w:val="04A0"/>
      </w:tblPr>
      <w:tblGrid>
        <w:gridCol w:w="9648"/>
      </w:tblGrid>
      <w:tr>
        <w:trPr>
          <w:cantSplit w:val="true"/>
        </w:trPr>
        <w:tc>
          <w:tcPr>
            <w:tcW w:type="dxa" w:w="9648"/>
            <w:shd w:val="clear" w:color="auto" w:fill="F4F6F8"/>
            <w:tcBorders>
              <w:top w:val="single" w:sz="4" w:space="0" w:color="E9ECEF"/>
              <w:bottom w:val="single" w:sz="4" w:space="0" w:color="E9ECEF"/>
              <w:right w:val="single" w:sz="4" w:space="0" w:color="E9ECEF"/>
              <w:left w:val="single" w:sz="28" w:space="0" w:color="006DB6"/>
            </w:tcBorders>
            <w:tcMar>
              <w:top w:w="90" w:type="dxa"/>
              <w:bottom w:w="90" w:type="dxa"/>
              <w:left w:w="160" w:type="dxa"/>
              <w:right w:w="140" w:type="dxa"/>
            </w:tcMar>
          </w:tcPr>
          <w:p>
            <w:pPr>
              <w:spacing w:after="60"/>
            </w:pPr>
            <w:r/>
            <w:r>
              <w:rPr>
                <w:rFonts w:ascii="Arial" w:hAnsi="Arial"/>
                <w:b/>
                <w:i w:val="0"/>
                <w:color w:val="006DB6"/>
                <w:sz w:val="21"/>
              </w:rPr>
              <w:t>The efficiency thesis</w:t>
            </w:r>
          </w:p>
          <w:p>
            <w:pPr>
              <w:spacing w:after="40" w:line="283" w:lineRule="auto"/>
            </w:pPr>
            <w:r>
              <w:rPr>
                <w:rFonts w:ascii="Arial" w:hAnsi="Arial"/>
                <w:b w:val="0"/>
                <w:i w:val="0"/>
                <w:color w:val="2D2D2D"/>
                <w:sz w:val="19"/>
              </w:rPr>
              <w:t>Pillars 1–3 grow the top line. Pillar 4 protects the bottom line — it lets SC Fuels add business without adding overhead, and de-risks the knowledge that today lives in a few experienced people as the company integrates Downs, Lutz, and the next acquisition.</w:t>
            </w:r>
          </w:p>
          <w:p>
            <w:pPr>
              <w:spacing w:after="40" w:line="283" w:lineRule="auto"/>
            </w:pPr>
            <w:r>
              <w:rPr>
                <w:rFonts w:ascii="Arial" w:hAnsi="Arial"/>
                <w:b w:val="0"/>
                <w:i w:val="0"/>
                <w:color w:val="2D2D2D"/>
                <w:sz w:val="19"/>
              </w:rPr>
              <w:t>All figures are conservative estimates from SC Fuels’ published operating model and Technijian’s prior builds; a short operational discovery would replace them with SC Fuels’ real hours and volumes before any scope is set.</w:t>
            </w:r>
          </w:p>
        </w:tc>
      </w:tr>
    </w:tbl>
    <w:p>
      <w:pPr>
        <w:spacing w:after="140"/>
      </w:pPr>
    </w:p>
    <w:p>
      <w:pPr>
        <w:spacing w:after="80"/>
      </w:pPr>
    </w:p>
    <w:p>
      <w:pPr>
        <w:spacing w:after="120"/>
      </w:pPr>
      <w:r>
        <w:rPr>
          <w:rFonts w:ascii="Arial" w:hAnsi="Arial"/>
          <w:b w:val="0"/>
          <w:i/>
          <w:color w:val="59595B"/>
          <w:sz w:val="21"/>
        </w:rPr>
        <w:t>Together, these four pillars are the engine. The next section shows how it runs alongside WebFX, and Section 15 shows what it costs.</w:t>
      </w:r>
    </w:p>
    <w:p>
      <w:pPr>
        <w:pStyle w:val="Heading1"/>
        <w:pageBreakBefore/>
        <w:spacing w:before="0"/>
        <w:pBdr>
          <w:bottom w:val="single" w:sz="12" w:space="3" w:color="F67D4B"/>
        </w:pBdr>
      </w:pPr>
      <w:r>
        <w:rPr>
          <w:rFonts w:ascii="Arial" w:hAnsi="Arial"/>
          <w:b/>
          <w:i w:val="0"/>
          <w:color w:val="006DB6"/>
          <w:sz w:val="30"/>
        </w:rPr>
        <w:t>14.  How It Works With WebFX — and the Optional Path to Consolidate</w:t>
      </w:r>
    </w:p>
    <w:p>
      <w:pPr>
        <w:spacing w:after="120"/>
      </w:pPr>
      <w:r>
        <w:rPr>
          <w:rFonts w:ascii="Arial" w:hAnsi="Arial"/>
          <w:b w:val="0"/>
          <w:i w:val="0"/>
          <w:color w:val="2D2D2D"/>
          <w:sz w:val="21"/>
        </w:rPr>
        <w:t>The recommended model keeps WebFX where it is strong and gives Technijian the AI layers it is built for. Clear lanes, no overlap, no turf war.</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212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Layer</w:t>
            </w:r>
          </w:p>
        </w:tc>
        <w:tc>
          <w:tcPr>
            <w:tcW w:type="dxa" w:w="347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WebFX (today)</w:t>
            </w:r>
          </w:p>
        </w:tc>
        <w:tc>
          <w:tcPr>
            <w:tcW w:type="dxa" w:w="4052"/>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Technijian (adds)</w:t>
            </w:r>
          </w:p>
        </w:tc>
      </w:tr>
      <w:tr>
        <w:trPr>
          <w:cantSplit w:val="true"/>
        </w:trPr>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SEO strategy &amp; content</w:t>
            </w:r>
          </w:p>
        </w:tc>
        <w:tc>
          <w:tcPr>
            <w:tcW w:type="dxa" w:w="347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Keyword targeting, content calendar, on-page</w:t>
            </w:r>
          </w:p>
        </w:tc>
        <w:tc>
          <w:tcPr>
            <w:tcW w:type="dxa" w:w="4052"/>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 content factory at scale; AI-search (GEO) content</w:t>
            </w:r>
          </w:p>
        </w:tc>
      </w:tr>
      <w:tr>
        <w:trPr>
          <w:cantSplit w:val="true"/>
        </w:trPr>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Paid search</w:t>
            </w:r>
          </w:p>
        </w:tc>
        <w:tc>
          <w:tcPr>
            <w:tcW w:type="dxa" w:w="347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Current PPC</w:t>
            </w:r>
          </w:p>
        </w:tc>
        <w:tc>
          <w:tcPr>
            <w:tcW w:type="dxa" w:w="4052"/>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AI-managed Google + Meta (or take it over)</w:t>
            </w:r>
          </w:p>
        </w:tc>
      </w:tr>
      <w:tr>
        <w:trPr>
          <w:cantSplit w:val="true"/>
        </w:trPr>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AI search / GEO</w:t>
            </w:r>
          </w:p>
        </w:tc>
        <w:tc>
          <w:tcPr>
            <w:tcW w:type="dxa" w:w="347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Emerging</w:t>
            </w:r>
          </w:p>
        </w:tc>
        <w:tc>
          <w:tcPr>
            <w:tcW w:type="dxa" w:w="4052"/>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llms.txt, static-HTML migration, FAQ schema, AI-crawler testing</w:t>
            </w:r>
          </w:p>
        </w:tc>
      </w:tr>
      <w:tr>
        <w:trPr>
          <w:cantSplit w:val="true"/>
        </w:trPr>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Outbound lead gen</w:t>
            </w:r>
          </w:p>
        </w:tc>
        <w:tc>
          <w:tcPr>
            <w:tcW w:type="dxa" w:w="347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Not in scope</w:t>
            </w:r>
          </w:p>
        </w:tc>
        <w:tc>
          <w:tcPr>
            <w:tcW w:type="dxa" w:w="4052"/>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 prospecting, ICP scoring, RFP auto-draft (Pillar 3)</w:t>
            </w:r>
          </w:p>
        </w:tc>
      </w:tr>
      <w:tr>
        <w:trPr>
          <w:cantSplit w:val="true"/>
        </w:trPr>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Internal AI</w:t>
            </w:r>
          </w:p>
        </w:tc>
        <w:tc>
          <w:tcPr>
            <w:tcW w:type="dxa" w:w="347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Not in scope</w:t>
            </w:r>
          </w:p>
        </w:tc>
        <w:tc>
          <w:tcPr>
            <w:tcW w:type="dxa" w:w="4052"/>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Salesforce progression, credit AI, knowledge systems (Pillar 4)</w:t>
            </w:r>
          </w:p>
        </w:tc>
      </w:tr>
      <w:tr>
        <w:trPr>
          <w:cantSplit w:val="true"/>
        </w:trPr>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Site performance &amp; security</w:t>
            </w:r>
          </w:p>
        </w:tc>
        <w:tc>
          <w:tcPr>
            <w:tcW w:type="dxa" w:w="347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Recommendations</w:t>
            </w:r>
          </w:p>
        </w:tc>
        <w:tc>
          <w:tcPr>
            <w:tcW w:type="dxa" w:w="4052"/>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HTTP/2, compression, CDN, SPF/DKIM/DMARC, monitoring</w:t>
            </w:r>
          </w:p>
        </w:tc>
      </w:tr>
      <w:tr>
        <w:trPr>
          <w:cantSplit w:val="true"/>
        </w:trPr>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Website rebuild</w:t>
            </w:r>
          </w:p>
        </w:tc>
        <w:tc>
          <w:tcPr>
            <w:tcW w:type="dxa" w:w="347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Design input</w:t>
            </w:r>
          </w:p>
        </w:tc>
        <w:tc>
          <w:tcPr>
            <w:tcW w:type="dxa" w:w="4052"/>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Build it AI-ready &amp; GEO-ready from day one (My Dev)</w:t>
            </w:r>
          </w:p>
        </w:tc>
      </w:tr>
      <w:tr>
        <w:trPr>
          <w:cantSplit w:val="true"/>
        </w:trPr>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Reporting</w:t>
            </w:r>
          </w:p>
        </w:tc>
        <w:tc>
          <w:tcPr>
            <w:tcW w:type="dxa" w:w="347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MarketingCloudFX attribution</w:t>
            </w:r>
          </w:p>
        </w:tc>
        <w:tc>
          <w:tcPr>
            <w:tcW w:type="dxa" w:w="4052"/>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AI/infra dashboards; lead-engine + automation metrics</w:t>
            </w:r>
          </w:p>
        </w:tc>
      </w:tr>
    </w:tbl>
    <w:p>
      <w:pPr>
        <w:spacing w:after="120"/>
      </w:pPr>
    </w:p>
    <w:tbl>
      <w:tblPr>
        <w:tblW w:type="auto" w:w="0"/>
        <w:jc w:val="center"/>
        <w:tblLook w:firstColumn="1" w:firstRow="1" w:lastColumn="0" w:lastRow="0" w:noHBand="0" w:noVBand="1" w:val="04A0"/>
      </w:tblPr>
      <w:tblGrid>
        <w:gridCol w:w="9648"/>
      </w:tblGrid>
      <w:tr>
        <w:trPr>
          <w:cantSplit w:val="true"/>
        </w:trPr>
        <w:tc>
          <w:tcPr>
            <w:tcW w:type="dxa" w:w="9648"/>
            <w:shd w:val="clear" w:color="auto" w:fill="F4F6F8"/>
            <w:tcBorders>
              <w:top w:val="single" w:sz="4" w:space="0" w:color="E9ECEF"/>
              <w:bottom w:val="single" w:sz="4" w:space="0" w:color="E9ECEF"/>
              <w:right w:val="single" w:sz="4" w:space="0" w:color="E9ECEF"/>
              <w:left w:val="single" w:sz="28" w:space="0" w:color="006DB6"/>
            </w:tcBorders>
            <w:tcMar>
              <w:top w:w="90" w:type="dxa"/>
              <w:bottom w:w="90" w:type="dxa"/>
              <w:left w:w="160" w:type="dxa"/>
              <w:right w:w="140" w:type="dxa"/>
            </w:tcMar>
          </w:tcPr>
          <w:p>
            <w:pPr>
              <w:spacing w:after="60"/>
            </w:pPr>
            <w:r/>
            <w:r>
              <w:rPr>
                <w:rFonts w:ascii="Arial" w:hAnsi="Arial"/>
                <w:b/>
                <w:i w:val="0"/>
                <w:color w:val="006DB6"/>
                <w:sz w:val="21"/>
              </w:rPr>
              <w:t>Complement now — consolidate later, if you choose</w:t>
            </w:r>
          </w:p>
          <w:p>
            <w:pPr>
              <w:spacing w:after="40" w:line="283" w:lineRule="auto"/>
            </w:pPr>
            <w:r>
              <w:rPr>
                <w:rFonts w:ascii="Arial" w:hAnsi="Arial"/>
                <w:b w:val="0"/>
                <w:i w:val="0"/>
                <w:color w:val="2D2D2D"/>
                <w:sz w:val="19"/>
              </w:rPr>
              <w:t>Start by adding the AI layers above on top of your current setup — nothing to unwind, fast to show value. Then, once the engine is proving out, SC Fuels has the option to bring the SEO and site work under Technijian’s fixed-fee My SEO model (12-month, unlimited hours) at a published cost that typically sits below enterprise-agency rates. That is a choice to make later with real data — not a switch we are asking for today. The first step is confirming what WebFX costs you now versus the value you get.</w:t>
            </w:r>
          </w:p>
        </w:tc>
      </w:tr>
    </w:tbl>
    <w:p>
      <w:pPr>
        <w:spacing w:after="140"/>
      </w:pPr>
    </w:p>
    <w:p>
      <w:pPr>
        <w:pStyle w:val="Heading1"/>
        <w:pageBreakBefore/>
        <w:spacing w:before="0"/>
        <w:pBdr>
          <w:bottom w:val="single" w:sz="12" w:space="3" w:color="F67D4B"/>
        </w:pBdr>
      </w:pPr>
      <w:r>
        <w:rPr>
          <w:rFonts w:ascii="Arial" w:hAnsi="Arial"/>
          <w:b/>
          <w:i w:val="0"/>
          <w:color w:val="006DB6"/>
          <w:sz w:val="30"/>
        </w:rPr>
        <w:t>15.  Investment — and How It Compares</w:t>
      </w:r>
    </w:p>
    <w:p>
      <w:pPr>
        <w:spacing w:after="120"/>
      </w:pPr>
      <w:r>
        <w:rPr>
          <w:rFonts w:ascii="Arial" w:hAnsi="Arial"/>
          <w:b w:val="0"/>
          <w:i w:val="0"/>
          <w:color w:val="2D2D2D"/>
          <w:sz w:val="21"/>
        </w:rPr>
        <w:t>Pricing discipline: every Technijian figure below is a published rate. Where a number depends on scope (custom builds, the website rebuild, internal-AI automation), we say “scoped at discovery” rather than guess. We have not assumed your current WebFX spend — confirming it is a discovery item.</w:t>
      </w:r>
    </w:p>
    <w:p>
      <w:pPr>
        <w:pStyle w:val="Heading2"/>
      </w:pPr>
      <w:r>
        <w:rPr>
          <w:rFonts w:ascii="Arial" w:hAnsi="Arial"/>
          <w:b/>
          <w:i w:val="0"/>
          <w:color w:val="1A1A2E"/>
          <w:sz w:val="25"/>
        </w:rPr>
        <w:t>15.1  Technijian published rates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2316"/>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Service</w:t>
            </w:r>
          </w:p>
        </w:tc>
        <w:tc>
          <w:tcPr>
            <w:tcW w:type="dxa" w:w="5017"/>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What it covers</w:t>
            </w:r>
          </w:p>
        </w:tc>
        <w:tc>
          <w:tcPr>
            <w:tcW w:type="dxa" w:w="2316"/>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Published rate</w:t>
            </w:r>
          </w:p>
        </w:tc>
      </w:tr>
      <w:tr>
        <w:trPr>
          <w:cantSplit w:val="true"/>
        </w:trPr>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My SEO (Tiers 1–5)</w:t>
            </w:r>
          </w:p>
        </w:tc>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Site/hosting → SEO → blog content → video → viral video (cumulative, 12-mo, unlimited hours)</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$500 – $1,500 / mo</w:t>
            </w:r>
          </w:p>
        </w:tc>
      </w:tr>
      <w:tr>
        <w:trPr>
          <w:cantSplit w:val="true"/>
        </w:trPr>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My SEO add-ons</w:t>
            </w:r>
          </w:p>
        </w:tc>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 Search Optimization (GEO) $200 · Content Syndication $200 · PR Releases $150</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+$150 – $200 / mo ea.</w:t>
            </w:r>
          </w:p>
        </w:tc>
      </w:tr>
      <w:tr>
        <w:trPr>
          <w:cantSplit w:val="true"/>
        </w:trPr>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My SEO — paid ads (DMA)</w:t>
            </w:r>
          </w:p>
        </w:tc>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Google + Meta management (media spend separate, paid to the platforms)</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$100 – $300 / mo</w:t>
            </w:r>
          </w:p>
        </w:tc>
      </w:tr>
      <w:tr>
        <w:trPr>
          <w:cantSplit w:val="true"/>
        </w:trPr>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My AI Lead Gen — Starter</w:t>
            </w:r>
          </w:p>
        </w:tc>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1 pipeline, 500 enriched leads/mo, CSV + email drafts</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$1,499 / mo</w:t>
            </w:r>
          </w:p>
        </w:tc>
      </w:tr>
      <w:tr>
        <w:trPr>
          <w:cantSplit w:val="true"/>
        </w:trPr>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My AI Lead Gen — Professional</w:t>
            </w:r>
          </w:p>
        </w:tc>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3 pipelines, 2,500 leads/mo, outreach automation, CRM sync</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$3,499 / mo</w:t>
            </w:r>
          </w:p>
        </w:tc>
      </w:tr>
      <w:tr>
        <w:trPr>
          <w:cantSplit w:val="true"/>
        </w:trPr>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My AI Lead Gen — Enterprise</w:t>
            </w:r>
          </w:p>
        </w:tc>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Unlimited pipelines, 10,000+ leads/mo, dedicated CRM sync</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$6,999 / mo</w:t>
            </w:r>
          </w:p>
        </w:tc>
      </w:tr>
      <w:tr>
        <w:trPr>
          <w:cantSplit w:val="true"/>
        </w:trPr>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My AI (consulting)</w:t>
            </w:r>
          </w:p>
        </w:tc>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 roadmap, executive workshop, fractional advisor</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Scoped at discovery</w:t>
            </w:r>
          </w:p>
        </w:tc>
      </w:tr>
      <w:tr>
        <w:trPr>
          <w:cantSplit w:val="true"/>
        </w:trPr>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My Dev (build)</w:t>
            </w:r>
          </w:p>
        </w:tc>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AI-ready website rebuild, Salesforce/credit automation</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Scoped at discovery</w:t>
            </w:r>
          </w:p>
        </w:tc>
      </w:tr>
    </w:tbl>
    <w:p>
      <w:pPr>
        <w:spacing w:after="120"/>
      </w:pPr>
    </w:p>
    <w:p>
      <w:pPr>
        <w:pStyle w:val="Heading2"/>
      </w:pPr>
      <w:r>
        <w:rPr>
          <w:rFonts w:ascii="Arial" w:hAnsi="Arial"/>
          <w:b/>
          <w:i w:val="0"/>
          <w:color w:val="1A1A2E"/>
          <w:sz w:val="25"/>
        </w:rPr>
        <w:t>15.2  How that compares to a full-service agency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2508"/>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r>
          </w:p>
        </w:tc>
        <w:tc>
          <w:tcPr>
            <w:tcW w:type="dxa" w:w="3570"/>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WebFX (public ranges)</w:t>
            </w:r>
          </w:p>
        </w:tc>
        <w:tc>
          <w:tcPr>
            <w:tcW w:type="dxa" w:w="3570"/>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Technijian (published)</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SEO / content</w:t>
            </w:r>
          </w:p>
        </w:tc>
        <w:tc>
          <w:tcPr>
            <w:tcW w:type="dxa" w:w="357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from ~$2,500/mo; core $3,000+/mo min</w:t>
            </w:r>
          </w:p>
        </w:tc>
        <w:tc>
          <w:tcPr>
            <w:tcW w:type="dxa" w:w="357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My SEO $500–$1,500/mo, unlimited hours</w:t>
            </w:r>
          </w:p>
        </w:tc>
      </w:tr>
      <w:tr>
        <w:trPr>
          <w:cantSplit w:val="true"/>
        </w:trPr>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Paid search</w:t>
            </w:r>
          </w:p>
        </w:tc>
        <w:tc>
          <w:tcPr>
            <w:tcW w:type="dxa" w:w="357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Included in larger retainers</w:t>
            </w:r>
          </w:p>
        </w:tc>
        <w:tc>
          <w:tcPr>
            <w:tcW w:type="dxa" w:w="357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DMA $100–$300/mo + media spend</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AI search / GEO</w:t>
            </w:r>
          </w:p>
        </w:tc>
        <w:tc>
          <w:tcPr>
            <w:tcW w:type="dxa" w:w="357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Emerging add-on</w:t>
            </w:r>
          </w:p>
        </w:tc>
        <w:tc>
          <w:tcPr>
            <w:tcW w:type="dxa" w:w="357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 Search Opt $200/mo</w:t>
            </w:r>
          </w:p>
        </w:tc>
      </w:tr>
      <w:tr>
        <w:trPr>
          <w:cantSplit w:val="true"/>
        </w:trPr>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AI outbound lead gen</w:t>
            </w:r>
          </w:p>
        </w:tc>
        <w:tc>
          <w:tcPr>
            <w:tcW w:type="dxa" w:w="357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Not offered</w:t>
            </w:r>
          </w:p>
        </w:tc>
        <w:tc>
          <w:tcPr>
            <w:tcW w:type="dxa" w:w="357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My AI Lead Gen $1,499–$6,999/mo</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Internal AI / CRM / credit</w:t>
            </w:r>
          </w:p>
        </w:tc>
        <w:tc>
          <w:tcPr>
            <w:tcW w:type="dxa" w:w="357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Not offered</w:t>
            </w:r>
          </w:p>
        </w:tc>
        <w:tc>
          <w:tcPr>
            <w:tcW w:type="dxa" w:w="3570"/>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My AI + My Dev (scoped)</w:t>
            </w:r>
          </w:p>
        </w:tc>
      </w:tr>
      <w:tr>
        <w:trPr>
          <w:cantSplit w:val="true"/>
        </w:trPr>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Enterprise engagement</w:t>
            </w:r>
          </w:p>
        </w:tc>
        <w:tc>
          <w:tcPr>
            <w:tcW w:type="dxa" w:w="357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$10K–$50K+/mo, 6–12 mo terms + setup</w:t>
            </w:r>
          </w:p>
        </w:tc>
        <w:tc>
          <w:tcPr>
            <w:tcW w:type="dxa" w:w="3570"/>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Fixed-fee, 12-mo; outbound is net-new scope</w:t>
            </w:r>
          </w:p>
        </w:tc>
      </w:tr>
    </w:tbl>
    <w:p>
      <w:pPr>
        <w:spacing w:after="120"/>
      </w:pPr>
    </w:p>
    <w:tbl>
      <w:tblPr>
        <w:tblW w:type="auto" w:w="0"/>
        <w:jc w:val="center"/>
        <w:tblLook w:firstColumn="1" w:firstRow="1" w:lastColumn="0" w:lastRow="0" w:noHBand="0" w:noVBand="1" w:val="04A0"/>
      </w:tblPr>
      <w:tblGrid>
        <w:gridCol w:w="9648"/>
      </w:tblGrid>
      <w:tr>
        <w:trPr>
          <w:cantSplit w:val="true"/>
        </w:trPr>
        <w:tc>
          <w:tcPr>
            <w:tcW w:type="dxa" w:w="9648"/>
            <w:shd w:val="clear" w:color="auto" w:fill="EEF7EE"/>
            <w:tcBorders>
              <w:top w:val="single" w:sz="4" w:space="0" w:color="E9ECEF"/>
              <w:bottom w:val="single" w:sz="4" w:space="0" w:color="E9ECEF"/>
              <w:right w:val="single" w:sz="4" w:space="0" w:color="E9ECEF"/>
              <w:left w:val="single" w:sz="28" w:space="0" w:color="1E8E3E"/>
            </w:tcBorders>
            <w:tcMar>
              <w:top w:w="90" w:type="dxa"/>
              <w:bottom w:w="90" w:type="dxa"/>
              <w:left w:w="160" w:type="dxa"/>
              <w:right w:w="140" w:type="dxa"/>
            </w:tcMar>
          </w:tcPr>
          <w:p>
            <w:pPr>
              <w:spacing w:after="60"/>
            </w:pPr>
            <w:r/>
            <w:r>
              <w:rPr>
                <w:rFonts w:ascii="Arial" w:hAnsi="Arial"/>
                <w:b/>
                <w:i w:val="0"/>
                <w:color w:val="1E8E3E"/>
                <w:sz w:val="21"/>
              </w:rPr>
              <w:t>Reading the comparison fairly</w:t>
            </w:r>
          </w:p>
          <w:p>
            <w:pPr>
              <w:spacing w:after="40" w:line="283" w:lineRule="auto"/>
            </w:pPr>
            <w:r>
              <w:rPr>
                <w:rFonts w:ascii="Arial" w:hAnsi="Arial"/>
                <w:b/>
                <w:i w:val="0"/>
                <w:color w:val="1A1A2E"/>
                <w:sz w:val="19"/>
              </w:rPr>
              <w:t xml:space="preserve">The headline.  </w:t>
            </w:r>
            <w:r>
              <w:rPr>
                <w:rFonts w:ascii="Arial" w:hAnsi="Arial"/>
                <w:b w:val="0"/>
                <w:i w:val="0"/>
                <w:color w:val="2D2D2D"/>
                <w:sz w:val="19"/>
              </w:rPr>
              <w:t>At published rates, a full inbound + paid + AI-search program via My SEO and its add-ons runs in the low thousands per month — and you can add the AI outbound engine WebFX does not offer (My AI Lead Gen) and still sit at or below the enterprise-agency range, while getting more scope.</w:t>
            </w:r>
          </w:p>
          <w:p>
            <w:pPr>
              <w:spacing w:after="40" w:line="283" w:lineRule="auto"/>
            </w:pPr>
            <w:r>
              <w:rPr>
                <w:rFonts w:ascii="Arial" w:hAnsi="Arial"/>
                <w:b/>
                <w:i w:val="0"/>
                <w:color w:val="1A1A2E"/>
                <w:sz w:val="19"/>
              </w:rPr>
              <w:t xml:space="preserve">The honest caveat.  </w:t>
            </w:r>
            <w:r>
              <w:rPr>
                <w:rFonts w:ascii="Arial" w:hAnsi="Arial"/>
                <w:b w:val="0"/>
                <w:i w:val="0"/>
                <w:color w:val="2D2D2D"/>
                <w:sz w:val="19"/>
              </w:rPr>
              <w:t>Enterprise WebFX engagements include strategy depth and MarketingCloudFX attribution that have real value. The right comparison is total scope for total dollars — which is why the first move is confirming what you pay WebFX today against what you receive.</w:t>
            </w:r>
          </w:p>
        </w:tc>
      </w:tr>
    </w:tbl>
    <w:p>
      <w:pPr>
        <w:spacing w:after="140"/>
      </w:pPr>
    </w:p>
    <w:p>
      <w:pPr>
        <w:pStyle w:val="Heading2"/>
      </w:pPr>
      <w:r>
        <w:rPr>
          <w:rFonts w:ascii="Arial" w:hAnsi="Arial"/>
          <w:b/>
          <w:i w:val="0"/>
          <w:color w:val="1A1A2E"/>
          <w:sz w:val="25"/>
        </w:rPr>
        <w:t>15.3  The entry offer — the 90-Day AI Lead-Gen Pilot</w:t>
      </w:r>
    </w:p>
    <w:p>
      <w:pPr>
        <w:spacing w:after="120"/>
      </w:pPr>
      <w:r>
        <w:rPr>
          <w:rFonts w:ascii="Arial" w:hAnsi="Arial"/>
          <w:b w:val="0"/>
          <w:i w:val="0"/>
          <w:color w:val="2D2D2D"/>
          <w:sz w:val="21"/>
        </w:rPr>
        <w:t>Start with one clearly-scoped, fixed-price pilot — not an open-ended engagement. It layers the AI outbound engine and the AI-search (GEO) quick wins on top of your current setup, with nothing to unwind.</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2508"/>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What's included (90 days)</w:t>
            </w:r>
          </w:p>
        </w:tc>
        <w:tc>
          <w:tcPr>
            <w:tcW w:type="dxa" w:w="5017"/>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Detail</w:t>
            </w:r>
          </w:p>
        </w:tc>
        <w:tc>
          <w:tcPr>
            <w:tcW w:type="dxa" w:w="212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Investment</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My AI Lead Gen — Starter</w:t>
            </w:r>
          </w:p>
        </w:tc>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1 pipeline, ICP scoring, ~500 enriched leads/mo, personalized outreach drafts for the team</w:t>
            </w:r>
          </w:p>
        </w:tc>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$1,499 / mo</w:t>
            </w:r>
          </w:p>
        </w:tc>
      </w:tr>
      <w:tr>
        <w:trPr>
          <w:cantSplit w:val="true"/>
        </w:trPr>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AI-search quick wins</w:t>
            </w:r>
          </w:p>
        </w:tc>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/llms.txt, FAQ-schema pages, static-HTML migration of key copy — fixes the Grade-F GEO so AI assistants can read SC Fuels</w:t>
            </w:r>
          </w:p>
        </w:tc>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My SEO add-on (published)</w:t>
            </w:r>
          </w:p>
        </w:tc>
      </w:tr>
      <w:tr>
        <w:trPr>
          <w:cantSplit w:val="true"/>
        </w:trPr>
        <w:tc>
          <w:tcPr>
            <w:tcW w:type="dxa" w:w="2508"/>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Free Nexus Assess</w:t>
            </w:r>
          </w:p>
        </w:tc>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No-cost IT &amp; security baseline (internal + external scan, dark-web check, M365 review) — prioritized roadmap</w:t>
            </w:r>
          </w:p>
        </w:tc>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Included</w:t>
            </w:r>
          </w:p>
        </w:tc>
      </w:tr>
      <w:tr>
        <w:trPr>
          <w:cantSplit w:val="true"/>
        </w:trPr>
        <w:tc>
          <w:tcPr>
            <w:tcW w:type="dxa" w:w="2508"/>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Pilot total</w:t>
            </w:r>
          </w:p>
        </w:tc>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Fixed scope, published rates, month-to-month, no large up-front build</w:t>
            </w:r>
          </w:p>
        </w:tc>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Low thousands / mo</w:t>
            </w:r>
          </w:p>
        </w:tc>
      </w:tr>
    </w:tbl>
    <w:p>
      <w:pPr>
        <w:spacing w:after="120"/>
      </w:pPr>
    </w:p>
    <w:tbl>
      <w:tblPr>
        <w:tblW w:type="auto" w:w="0"/>
        <w:jc w:val="center"/>
        <w:tblLook w:firstColumn="1" w:firstRow="1" w:lastColumn="0" w:lastRow="0" w:noHBand="0" w:noVBand="1" w:val="04A0"/>
      </w:tblPr>
      <w:tblGrid>
        <w:gridCol w:w="9648"/>
      </w:tblGrid>
      <w:tr>
        <w:trPr>
          <w:cantSplit w:val="true"/>
        </w:trPr>
        <w:tc>
          <w:tcPr>
            <w:tcW w:type="dxa" w:w="9648"/>
            <w:shd w:val="clear" w:color="auto" w:fill="F4F6F8"/>
            <w:tcBorders>
              <w:top w:val="single" w:sz="4" w:space="0" w:color="E9ECEF"/>
              <w:bottom w:val="single" w:sz="4" w:space="0" w:color="E9ECEF"/>
              <w:right w:val="single" w:sz="4" w:space="0" w:color="E9ECEF"/>
              <w:left w:val="single" w:sz="28" w:space="0" w:color="F67D4B"/>
            </w:tcBorders>
            <w:tcMar>
              <w:top w:w="90" w:type="dxa"/>
              <w:bottom w:w="90" w:type="dxa"/>
              <w:left w:w="160" w:type="dxa"/>
              <w:right w:w="140" w:type="dxa"/>
            </w:tcMar>
          </w:tcPr>
          <w:p>
            <w:pPr>
              <w:spacing w:after="60"/>
            </w:pPr>
            <w:r/>
            <w:r>
              <w:rPr>
                <w:rFonts w:ascii="Arial" w:hAnsi="Arial"/>
                <w:b/>
                <w:i w:val="0"/>
                <w:color w:val="F67D4B"/>
                <w:sz w:val="21"/>
              </w:rPr>
              <w:t>The pilot bar — and our commitment</w:t>
            </w:r>
          </w:p>
          <w:p>
            <w:pPr>
              <w:spacing w:after="40" w:line="283" w:lineRule="auto"/>
            </w:pPr>
            <w:r>
              <w:rPr>
                <w:rFonts w:ascii="Arial" w:hAnsi="Arial"/>
                <w:b/>
                <w:i w:val="0"/>
                <w:color w:val="1A1A2E"/>
                <w:sz w:val="19"/>
              </w:rPr>
              <w:t xml:space="preserve">Success metric.  </w:t>
            </w:r>
            <w:r>
              <w:rPr>
                <w:rFonts w:ascii="Arial" w:hAnsi="Arial"/>
                <w:b w:val="0"/>
                <w:i w:val="0"/>
                <w:color w:val="2D2D2D"/>
                <w:sz w:val="19"/>
              </w:rPr>
              <w:t>Within 90 days, the AI Lead Gen engine delivers a working stream of ICP-scored, contact-ready opportunities into the reps' hands (hot/warm/watch), and SC Fuels begins appearing in AI-search answers for target queries it is invisible for today.</w:t>
            </w:r>
          </w:p>
          <w:p>
            <w:pPr>
              <w:spacing w:after="40" w:line="283" w:lineRule="auto"/>
            </w:pPr>
            <w:r>
              <w:rPr>
                <w:rFonts w:ascii="Arial" w:hAnsi="Arial"/>
                <w:b/>
                <w:i w:val="0"/>
                <w:color w:val="1A1A2E"/>
                <w:sz w:val="19"/>
              </w:rPr>
              <w:t xml:space="preserve">Our commitment.  </w:t>
            </w:r>
            <w:r>
              <w:rPr>
                <w:rFonts w:ascii="Arial" w:hAnsi="Arial"/>
                <w:b w:val="0"/>
                <w:i w:val="0"/>
                <w:color w:val="2D2D2D"/>
                <w:sz w:val="19"/>
              </w:rPr>
              <w:t>The pilot is month-to-month with no long lock-in. If it has not produced a usable pipeline and measurable AI-search movement by day 90, you are under no obligation to continue — and we will tell you honestly whether it is worth it. You carry the upside, not the risk.</w:t>
            </w:r>
          </w:p>
        </w:tc>
      </w:tr>
    </w:tbl>
    <w:p>
      <w:pPr>
        <w:spacing w:after="140"/>
      </w:pPr>
    </w:p>
    <w:p>
      <w:pPr>
        <w:spacing w:after="120"/>
      </w:pPr>
    </w:p>
    <w:p>
      <w:pPr>
        <w:spacing w:after="120"/>
      </w:pPr>
      <w:r>
        <w:rPr>
          <w:rFonts w:ascii="Arial" w:hAnsi="Arial"/>
          <w:b/>
          <w:i w:val="0"/>
          <w:color w:val="1A1A2E"/>
          <w:sz w:val="21"/>
        </w:rPr>
        <w:t xml:space="preserve">How we keep the AI bill down.  </w:t>
      </w:r>
      <w:r>
        <w:rPr>
          <w:rFonts w:ascii="Arial" w:hAnsi="Arial"/>
          <w:b w:val="0"/>
          <w:i w:val="0"/>
          <w:color w:val="2D2D2D"/>
          <w:sz w:val="21"/>
        </w:rPr>
        <w:t>Won't running AI across content, lead gen, and credit cost a fortune in tokens?</w:t>
      </w:r>
    </w:p>
    <w:p>
      <w:pPr>
        <w:spacing w:after="120"/>
      </w:pPr>
      <w:r>
        <w:rPr>
          <w:rFonts w:ascii="Arial" w:hAnsi="Arial"/>
          <w:b w:val="0"/>
          <w:i w:val="0"/>
          <w:color w:val="2D2D2D"/>
          <w:sz w:val="21"/>
        </w:rPr>
        <w:t>No — because we don't wire every task to one expensive model. Technijian's platform routes across roughly seven models, spanning three AI vendors and three capability tiers, and sends each sub-task to the cheapest model that can do it well: lightweight models handle high-volume work (enriching and scoring thousands of leads, classification, extraction), balanced models do the drafting and reasoning, and a frontier model is reserved for the ~5–10% that needs deep judgment (final brand voice, compliance-critical answers). Where quality is non-negotiable, three models peer-review the same output. The result is typically a 60–80% lower run cost than routing everything to one premium model, with no quality loss where it counts — for example, a blog is drafted by a low-cost model, tightened by a mid model, and given a final brand-and-accuracy pass by a frontier model, instead of one premium model doing all three at roughly triple the cost. It is the kind of AI-engineering depth a partner brings that wiring everything to one chatbot does not.</w:t>
      </w:r>
    </w:p>
    <w:p>
      <w:pPr>
        <w:pStyle w:val="Heading2"/>
      </w:pPr>
      <w:r>
        <w:rPr>
          <w:rFonts w:ascii="Arial" w:hAnsi="Arial"/>
          <w:b/>
          <w:i w:val="0"/>
          <w:color w:val="1A1A2E"/>
          <w:sz w:val="25"/>
        </w:rPr>
        <w:t>15.4  Land-and-expand — sequence the investment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212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Phase</w:t>
            </w:r>
          </w:p>
        </w:tc>
        <w:tc>
          <w:tcPr>
            <w:tcW w:type="dxa" w:w="540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What</w:t>
            </w:r>
          </w:p>
        </w:tc>
        <w:tc>
          <w:tcPr>
            <w:tcW w:type="dxa" w:w="2123"/>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Approx. economics</w:t>
            </w:r>
          </w:p>
        </w:tc>
      </w:tr>
      <w:tr>
        <w:trPr>
          <w:cantSplit w:val="true"/>
        </w:trPr>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Entry (now)</w:t>
            </w:r>
          </w:p>
        </w:tc>
        <w:tc>
          <w:tcPr>
            <w:tcW w:type="dxa" w:w="540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The 90-Day AI Lead-Gen Pilot above — AI outbound + AI-search quick wins on the current setup</w:t>
            </w:r>
          </w:p>
        </w:tc>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Published recurring rates</w:t>
            </w:r>
          </w:p>
        </w:tc>
      </w:tr>
      <w:tr>
        <w:trPr>
          <w:cantSplit w:val="true"/>
        </w:trPr>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Expansion</w:t>
            </w:r>
          </w:p>
        </w:tc>
        <w:tc>
          <w:tcPr>
            <w:tcW w:type="dxa" w:w="540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AI-ready website rebuild (already budgeted) + Salesforce/credit AI + full content factory</w:t>
            </w:r>
          </w:p>
        </w:tc>
        <w:tc>
          <w:tcPr>
            <w:tcW w:type="dxa" w:w="2123"/>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Scoped at discovery (My Dev/My AI)</w:t>
            </w:r>
          </w:p>
        </w:tc>
      </w:tr>
      <w:tr>
        <w:trPr>
          <w:cantSplit w:val="true"/>
        </w:trPr>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Consolidate (optional)</w:t>
            </w:r>
          </w:p>
        </w:tc>
        <w:tc>
          <w:tcPr>
            <w:tcW w:type="dxa" w:w="540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Move SEO/site to Technijian fixed-fee My SEO once the engine proves out</w:t>
            </w:r>
          </w:p>
        </w:tc>
        <w:tc>
          <w:tcPr>
            <w:tcW w:type="dxa" w:w="2123"/>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Typically below enterprise-agency rates</w:t>
            </w:r>
          </w:p>
        </w:tc>
      </w:tr>
    </w:tbl>
    <w:p>
      <w:pPr>
        <w:spacing w:after="120"/>
      </w:pPr>
    </w:p>
    <w:p>
      <w:pPr>
        <w:pStyle w:val="Heading2"/>
      </w:pPr>
      <w:r>
        <w:rPr>
          <w:rFonts w:ascii="Arial" w:hAnsi="Arial"/>
          <w:b/>
          <w:i w:val="0"/>
          <w:color w:val="1A1A2E"/>
          <w:sz w:val="25"/>
        </w:rPr>
        <w:t>15.5  The ROI logic</w:t>
      </w:r>
    </w:p>
    <w:p>
      <w:pPr>
        <w:spacing w:after="120"/>
      </w:pPr>
      <w:r>
        <w:rPr>
          <w:rFonts w:ascii="Arial" w:hAnsi="Arial"/>
          <w:b w:val="0"/>
          <w:i w:val="0"/>
          <w:color w:val="2D2D2D"/>
          <w:sz w:val="21"/>
        </w:rPr>
        <w:t>We model ROI as method, not a promised multiple. A single new enterprise fleet account is worth $100K+ in annual revenue. The entire entry-phase program runs in the low thousands per month. The engine therefore only needs to help land a small number of incremental accounts per year — or retain a few at-risk ones, or free enough rep time to cover more territory — to return many times its cost. Closed-loop attribution (WebFX’s MarketingCloudFX today, plus Technijian’s lead-engine metrics) keeps that honest.</w:t>
      </w:r>
    </w:p>
    <w:tbl>
      <w:tblPr>
        <w:tblW w:type="auto" w:w="0"/>
        <w:jc w:val="center"/>
        <w:tblLook w:firstColumn="1" w:firstRow="1" w:lastColumn="0" w:lastRow="0" w:noHBand="0" w:noVBand="1" w:val="04A0"/>
      </w:tblPr>
      <w:tblGrid>
        <w:gridCol w:w="9648"/>
      </w:tblGrid>
      <w:tr>
        <w:trPr>
          <w:cantSplit w:val="true"/>
        </w:trPr>
        <w:tc>
          <w:tcPr>
            <w:tcW w:type="dxa" w:w="9648"/>
            <w:shd w:val="clear" w:color="auto" w:fill="F4F6F8"/>
            <w:tcBorders>
              <w:top w:val="single" w:sz="4" w:space="0" w:color="E9ECEF"/>
              <w:bottom w:val="single" w:sz="4" w:space="0" w:color="E9ECEF"/>
              <w:right w:val="single" w:sz="4" w:space="0" w:color="E9ECEF"/>
              <w:left w:val="single" w:sz="28" w:space="0" w:color="F67D4B"/>
            </w:tcBorders>
            <w:tcMar>
              <w:top w:w="90" w:type="dxa"/>
              <w:bottom w:w="90" w:type="dxa"/>
              <w:left w:w="160" w:type="dxa"/>
              <w:right w:w="140" w:type="dxa"/>
            </w:tcMar>
          </w:tcPr>
          <w:p>
            <w:pPr>
              <w:spacing w:after="60"/>
            </w:pPr>
            <w:r/>
            <w:r>
              <w:rPr>
                <w:rFonts w:ascii="Arial" w:hAnsi="Arial"/>
                <w:b/>
                <w:i w:val="0"/>
                <w:color w:val="F67D4B"/>
                <w:sz w:val="21"/>
              </w:rPr>
              <w:t>AI as a managed investment — not a leap of faith</w:t>
            </w:r>
          </w:p>
          <w:p>
            <w:pPr>
              <w:spacing w:after="40" w:line="283" w:lineRule="auto"/>
            </w:pPr>
            <w:r>
              <w:rPr>
                <w:rFonts w:ascii="Arial" w:hAnsi="Arial"/>
                <w:b w:val="0"/>
                <w:i w:val="0"/>
                <w:color w:val="2D2D2D"/>
                <w:sz w:val="19"/>
              </w:rPr>
              <w:t>The reason most AI spend disappoints is not the technology — it is the lack of measurement. Industry research finds roughly 88% of companies use AI but only about 39% see a real profit impact; the difference is discipline, not budget.</w:t>
            </w:r>
          </w:p>
          <w:p>
            <w:pPr>
              <w:spacing w:after="40" w:line="283" w:lineRule="auto"/>
            </w:pPr>
            <w:r>
              <w:rPr>
                <w:rFonts w:ascii="Arial" w:hAnsi="Arial"/>
                <w:b/>
                <w:i w:val="0"/>
                <w:color w:val="1A1A2E"/>
                <w:sz w:val="19"/>
              </w:rPr>
              <w:t xml:space="preserve">Stage-gated.  </w:t>
            </w:r>
            <w:r>
              <w:rPr>
                <w:rFonts w:ascii="Arial" w:hAnsi="Arial"/>
                <w:b w:val="0"/>
                <w:i w:val="0"/>
                <w:color w:val="2D2D2D"/>
                <w:sz w:val="19"/>
              </w:rPr>
              <w:t>Technijian runs every engagement against gates — adoption, then operational improvement, then financial benefit versus total cost. If a pilot does not clear its cost at the gate, we stop and re-scope. SC Fuels carries the upside, not blind risk — the same way Derek described Pilot proving its 27→3-day onboarding win before scaling it.</w:t>
            </w:r>
          </w:p>
        </w:tc>
      </w:tr>
    </w:tbl>
    <w:p>
      <w:pPr>
        <w:spacing w:after="140"/>
      </w:pPr>
    </w:p>
    <w:p>
      <w:pPr>
        <w:pStyle w:val="Heading1"/>
        <w:pageBreakBefore/>
        <w:spacing w:before="0"/>
        <w:pBdr>
          <w:bottom w:val="single" w:sz="12" w:space="3" w:color="F67D4B"/>
        </w:pBdr>
      </w:pPr>
      <w:r>
        <w:rPr>
          <w:rFonts w:ascii="Arial" w:hAnsi="Arial"/>
          <w:b/>
          <w:i w:val="0"/>
          <w:color w:val="006DB6"/>
          <w:sz w:val="30"/>
        </w:rPr>
        <w:t>16.  Prioritized Roadmap</w:t>
      </w:r>
    </w:p>
    <w:p>
      <w:pPr>
        <w:pStyle w:val="Heading2"/>
      </w:pPr>
      <w:r>
        <w:rPr>
          <w:rFonts w:ascii="Arial" w:hAnsi="Arial"/>
          <w:b/>
          <w:i w:val="0"/>
          <w:color w:val="1A1A2E"/>
          <w:sz w:val="25"/>
        </w:rPr>
        <w:t>16.1  Immediate — within 30 days (quick technical wins + engine kickoff)</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5017"/>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Action</w:t>
            </w:r>
          </w:p>
        </w:tc>
        <w:tc>
          <w:tcPr>
            <w:tcW w:type="dxa" w:w="2316"/>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Owner</w:t>
            </w:r>
          </w:p>
        </w:tc>
        <w:tc>
          <w:tcPr>
            <w:tcW w:type="dxa" w:w="2316"/>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Type</w:t>
            </w:r>
          </w:p>
        </w:tc>
      </w:tr>
      <w:tr>
        <w:trPr>
          <w:cantSplit w:val="true"/>
        </w:trPr>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Enable HTTP/2 on Nginx</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t>
            </w:r>
          </w:p>
        </w:tc>
        <w:tc>
          <w:tcPr>
            <w:tcW w:type="dxa" w:w="2316"/>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QUICK WIN</w:t>
            </w:r>
          </w:p>
        </w:tc>
      </w:tr>
      <w:tr>
        <w:trPr>
          <w:cantSplit w:val="true"/>
        </w:trPr>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Implement SPF DNS record</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t>
            </w:r>
          </w:p>
        </w:tc>
        <w:tc>
          <w:tcPr>
            <w:tcW w:type="dxa" w:w="2316"/>
            <w:shd w:val="clear" w:color="auto" w:fill="CC0000"/>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URGENT</w:t>
            </w:r>
          </w:p>
        </w:tc>
      </w:tr>
      <w:tr>
        <w:trPr>
          <w:cantSplit w:val="true"/>
        </w:trPr>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Create /llms.txt</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t>
            </w:r>
          </w:p>
        </w:tc>
        <w:tc>
          <w:tcPr>
            <w:tcW w:type="dxa" w:w="2316"/>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QUICK WIN</w:t>
            </w:r>
          </w:p>
        </w:tc>
      </w:tr>
      <w:tr>
        <w:trPr>
          <w:cantSplit w:val="true"/>
        </w:trPr>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Fix duplicate H1 + missing alt text</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WebFX/Dev</w:t>
            </w:r>
          </w:p>
        </w:tc>
        <w:tc>
          <w:tcPr>
            <w:tcW w:type="dxa" w:w="2316"/>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QUICK WIN</w:t>
            </w:r>
          </w:p>
        </w:tc>
      </w:tr>
      <w:tr>
        <w:trPr>
          <w:cantSplit w:val="true"/>
        </w:trPr>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Replace plain-text email with form</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t>
            </w:r>
          </w:p>
        </w:tc>
        <w:tc>
          <w:tcPr>
            <w:tcW w:type="dxa" w:w="2316"/>
            <w:shd w:val="clear" w:color="auto" w:fill="1E8E3E"/>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QUICK WIN</w:t>
            </w:r>
          </w:p>
        </w:tc>
      </w:tr>
      <w:tr>
        <w:trPr>
          <w:cantSplit w:val="true"/>
        </w:trPr>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Stand up My AI Lead Gen pilot (1 vertical)</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t>
            </w:r>
          </w:p>
        </w:tc>
        <w:tc>
          <w:tcPr>
            <w:tcW w:type="dxa" w:w="2316"/>
            <w:shd w:val="clear" w:color="auto" w:fill="1EAAC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NEW</w:t>
            </w:r>
          </w:p>
        </w:tc>
      </w:tr>
    </w:tbl>
    <w:p>
      <w:pPr>
        <w:spacing w:after="120"/>
      </w:pPr>
    </w:p>
    <w:p>
      <w:pPr>
        <w:pStyle w:val="Heading2"/>
      </w:pPr>
      <w:r>
        <w:rPr>
          <w:rFonts w:ascii="Arial" w:hAnsi="Arial"/>
          <w:b/>
          <w:i w:val="0"/>
          <w:color w:val="1A1A2E"/>
          <w:sz w:val="25"/>
        </w:rPr>
        <w:t>16.2  Build — 60–90 days (the engine + the rebuild)</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5017"/>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Action</w:t>
            </w:r>
          </w:p>
        </w:tc>
        <w:tc>
          <w:tcPr>
            <w:tcW w:type="dxa" w:w="2316"/>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Owner</w:t>
            </w:r>
          </w:p>
        </w:tc>
        <w:tc>
          <w:tcPr>
            <w:tcW w:type="dxa" w:w="2316"/>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Type</w:t>
            </w:r>
          </w:p>
        </w:tc>
      </w:tr>
      <w:tr>
        <w:trPr>
          <w:cantSplit w:val="true"/>
        </w:trPr>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JS-render audit + static-HTML migration (GEO core)</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t>
            </w:r>
          </w:p>
        </w:tc>
        <w:tc>
          <w:tcPr>
            <w:tcW w:type="dxa" w:w="2316"/>
            <w:shd w:val="clear" w:color="auto" w:fill="006DB6"/>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HIGH VALUE</w:t>
            </w:r>
          </w:p>
        </w:tc>
      </w:tr>
      <w:tr>
        <w:trPr>
          <w:cantSplit w:val="true"/>
        </w:trPr>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Brotli compression + WebP/CDN image pipeline</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t>
            </w:r>
          </w:p>
        </w:tc>
        <w:tc>
          <w:tcPr>
            <w:tcW w:type="dxa" w:w="2316"/>
            <w:shd w:val="clear" w:color="auto" w:fill="006DB6"/>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HIGH VALUE</w:t>
            </w:r>
          </w:p>
        </w:tc>
      </w:tr>
      <w:tr>
        <w:trPr>
          <w:cantSplit w:val="true"/>
        </w:trPr>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Local Business schema + address in static HTML</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WebFX/Dev</w:t>
            </w:r>
          </w:p>
        </w:tc>
        <w:tc>
          <w:tcPr>
            <w:tcW w:type="dxa" w:w="2316"/>
            <w:shd w:val="clear" w:color="auto" w:fill="006DB6"/>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HIGH VALUE</w:t>
            </w:r>
          </w:p>
        </w:tc>
      </w:tr>
      <w:tr>
        <w:trPr>
          <w:cantSplit w:val="true"/>
        </w:trPr>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Expand PPC to 20–30 commercial keywords</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Technijian/WebFX</w:t>
            </w:r>
          </w:p>
        </w:tc>
        <w:tc>
          <w:tcPr>
            <w:tcW w:type="dxa" w:w="2316"/>
            <w:shd w:val="clear" w:color="auto" w:fill="006DB6"/>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HIGH VALUE</w:t>
            </w:r>
          </w:p>
        </w:tc>
      </w:tr>
      <w:tr>
        <w:trPr>
          <w:cantSplit w:val="true"/>
        </w:trPr>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Content + social factory live (blog→video→social)</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t>
            </w:r>
          </w:p>
        </w:tc>
        <w:tc>
          <w:tcPr>
            <w:tcW w:type="dxa" w:w="2316"/>
            <w:shd w:val="clear" w:color="auto" w:fill="1EAAC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NEW</w:t>
            </w:r>
          </w:p>
        </w:tc>
      </w:tr>
      <w:tr>
        <w:trPr>
          <w:cantSplit w:val="true"/>
        </w:trPr>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Begin AI-ready website rebuild</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Technijian/Dev</w:t>
            </w:r>
          </w:p>
        </w:tc>
        <w:tc>
          <w:tcPr>
            <w:tcW w:type="dxa" w:w="2316"/>
            <w:shd w:val="clear" w:color="auto" w:fill="006DB6"/>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STRATEGIC</w:t>
            </w:r>
          </w:p>
        </w:tc>
      </w:tr>
    </w:tbl>
    <w:p>
      <w:pPr>
        <w:spacing w:after="120"/>
      </w:pPr>
    </w:p>
    <w:p>
      <w:pPr>
        <w:pStyle w:val="Heading2"/>
      </w:pPr>
      <w:r>
        <w:rPr>
          <w:rFonts w:ascii="Arial" w:hAnsi="Arial"/>
          <w:b/>
          <w:i w:val="0"/>
          <w:color w:val="1A1A2E"/>
          <w:sz w:val="25"/>
        </w:rPr>
        <w:t>16.3  Scale — 3–6 months (internal AI + authority)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16"/>
        <w:gridCol w:w="3216"/>
        <w:gridCol w:w="3216"/>
      </w:tblGrid>
      <w:tr>
        <w:trPr>
          <w:cantSplit w:val="true"/>
        </w:trPr>
        <w:tc>
          <w:tcPr>
            <w:tcW w:type="dxa" w:w="5017"/>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Action</w:t>
            </w:r>
          </w:p>
        </w:tc>
        <w:tc>
          <w:tcPr>
            <w:tcW w:type="dxa" w:w="2316"/>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Owner</w:t>
            </w:r>
          </w:p>
        </w:tc>
        <w:tc>
          <w:tcPr>
            <w:tcW w:type="dxa" w:w="2316"/>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Type</w:t>
            </w:r>
          </w:p>
        </w:tc>
      </w:tr>
      <w:tr>
        <w:trPr>
          <w:cantSplit w:val="true"/>
        </w:trPr>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Salesforce opportunity-progression AI</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t>
            </w:r>
          </w:p>
        </w:tc>
        <w:tc>
          <w:tcPr>
            <w:tcW w:type="dxa" w:w="2316"/>
            <w:shd w:val="clear" w:color="auto" w:fill="006DB6"/>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STRATEGIC</w:t>
            </w:r>
          </w:p>
        </w:tc>
      </w:tr>
      <w:tr>
        <w:trPr>
          <w:cantSplit w:val="true"/>
        </w:trPr>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Credit-process AI acceleration</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t>
            </w:r>
          </w:p>
        </w:tc>
        <w:tc>
          <w:tcPr>
            <w:tcW w:type="dxa" w:w="2316"/>
            <w:shd w:val="clear" w:color="auto" w:fill="006DB6"/>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STRATEGIC</w:t>
            </w:r>
          </w:p>
        </w:tc>
      </w:tr>
      <w:tr>
        <w:trPr>
          <w:cantSplit w:val="true"/>
        </w:trPr>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Government/RFP discovery + auto-draft</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t>
            </w:r>
          </w:p>
        </w:tc>
        <w:tc>
          <w:tcPr>
            <w:tcW w:type="dxa" w:w="2316"/>
            <w:shd w:val="clear" w:color="auto" w:fill="006DB6"/>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STRATEGIC</w:t>
            </w:r>
          </w:p>
        </w:tc>
      </w:tr>
      <w:tr>
        <w:trPr>
          <w:cantSplit w:val="true"/>
        </w:trPr>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Service-area pages for 15 states</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Technijian/WebFX</w:t>
            </w:r>
          </w:p>
        </w:tc>
        <w:tc>
          <w:tcPr>
            <w:tcW w:type="dxa" w:w="2316"/>
            <w:shd w:val="clear" w:color="auto" w:fill="006DB6"/>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STRATEGIC</w:t>
            </w:r>
          </w:p>
        </w:tc>
      </w:tr>
      <w:tr>
        <w:trPr>
          <w:cantSplit w:val="true"/>
        </w:trPr>
        <w:tc>
          <w:tcPr>
            <w:tcW w:type="dxa" w:w="5017"/>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Grow non-branded traffic to 50%+</w:t>
            </w:r>
          </w:p>
        </w:tc>
        <w:tc>
          <w:tcPr>
            <w:tcW w:type="dxa" w:w="2316"/>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Technijian/WebFX</w:t>
            </w:r>
          </w:p>
        </w:tc>
        <w:tc>
          <w:tcPr>
            <w:tcW w:type="dxa" w:w="2316"/>
            <w:shd w:val="clear" w:color="auto" w:fill="006DB6"/>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STRATEGIC</w:t>
            </w:r>
          </w:p>
        </w:tc>
      </w:tr>
      <w:tr>
        <w:trPr>
          <w:cantSplit w:val="true"/>
        </w:trPr>
        <w:tc>
          <w:tcPr>
            <w:tcW w:type="dxa" w:w="5017"/>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Fractional AI advisor cadence</w:t>
            </w:r>
          </w:p>
        </w:tc>
        <w:tc>
          <w:tcPr>
            <w:tcW w:type="dxa" w:w="2316"/>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Technijian</w:t>
            </w:r>
          </w:p>
        </w:tc>
        <w:tc>
          <w:tcPr>
            <w:tcW w:type="dxa" w:w="2316"/>
            <w:shd w:val="clear" w:color="auto" w:fill="1EAAC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FFFFFF"/>
                <w:sz w:val="18"/>
              </w:rPr>
              <w:t>ONGOING</w:t>
            </w:r>
          </w:p>
        </w:tc>
      </w:tr>
    </w:tbl>
    <w:p>
      <w:pPr>
        <w:spacing w:after="120"/>
      </w:pPr>
    </w:p>
    <w:p>
      <w:pPr>
        <w:pStyle w:val="Heading1"/>
        <w:pageBreakBefore/>
        <w:spacing w:before="0"/>
        <w:pBdr>
          <w:bottom w:val="single" w:sz="12" w:space="3" w:color="F67D4B"/>
        </w:pBdr>
      </w:pPr>
      <w:r>
        <w:rPr>
          <w:rFonts w:ascii="Arial" w:hAnsi="Arial"/>
          <w:b/>
          <w:i w:val="0"/>
          <w:color w:val="006DB6"/>
          <w:sz w:val="30"/>
        </w:rPr>
        <w:t>17.  Quick Wins — No Commitment Required</w:t>
      </w:r>
    </w:p>
    <w:p>
      <w:pPr>
        <w:spacing w:after="120"/>
      </w:pPr>
      <w:r>
        <w:rPr>
          <w:rFonts w:ascii="Arial" w:hAnsi="Arial"/>
          <w:b w:val="0"/>
          <w:i w:val="0"/>
          <w:color w:val="2D2D2D"/>
          <w:sz w:val="21"/>
        </w:rPr>
        <w:t>Five things SC Fuels can do this week, with or without an engagement:</w:t>
      </w:r>
    </w:p>
    <w:p>
      <w:pPr>
        <w:pStyle w:val="ListBullet"/>
        <w:spacing w:after="60" w:line="283" w:lineRule="auto"/>
      </w:pPr>
      <w:r>
        <w:rPr>
          <w:rFonts w:ascii="Arial" w:hAnsi="Arial"/>
          <w:b/>
          <w:i w:val="0"/>
          <w:color w:val="1A1A2E"/>
          <w:sz w:val="20"/>
        </w:rPr>
        <w:t xml:space="preserve">1.  </w:t>
      </w:r>
      <w:r>
        <w:rPr>
          <w:rFonts w:ascii="Arial" w:hAnsi="Arial"/>
          <w:b w:val="0"/>
          <w:i w:val="0"/>
          <w:color w:val="2D2D2D"/>
          <w:sz w:val="20"/>
        </w:rPr>
        <w:t>Run a free Nexus Assess. Technijian’s no-cost IT &amp; security assessment (internal + external vulnerability, dark-web credential check, and a Microsoft 365 review) returns a prioritized remediation roadmap — a concrete starting point with no commitment.</w:t>
      </w:r>
    </w:p>
    <w:p>
      <w:pPr>
        <w:pStyle w:val="ListBullet"/>
        <w:spacing w:after="60" w:line="283" w:lineRule="auto"/>
      </w:pPr>
      <w:r>
        <w:rPr>
          <w:rFonts w:ascii="Arial" w:hAnsi="Arial"/>
          <w:b/>
          <w:i w:val="0"/>
          <w:color w:val="1A1A2E"/>
          <w:sz w:val="20"/>
        </w:rPr>
        <w:t xml:space="preserve">2.  </w:t>
      </w:r>
      <w:r>
        <w:rPr>
          <w:rFonts w:ascii="Arial" w:hAnsi="Arial"/>
          <w:b w:val="0"/>
          <w:i w:val="0"/>
          <w:color w:val="2D2D2D"/>
          <w:sz w:val="20"/>
        </w:rPr>
        <w:t>Add /llms.txt. Even a simple version starts making the brand legible to AI search today.</w:t>
      </w:r>
    </w:p>
    <w:p>
      <w:pPr>
        <w:pStyle w:val="ListBullet"/>
        <w:spacing w:after="60" w:line="283" w:lineRule="auto"/>
      </w:pPr>
      <w:r>
        <w:rPr>
          <w:rFonts w:ascii="Arial" w:hAnsi="Arial"/>
          <w:b/>
          <w:i w:val="0"/>
          <w:color w:val="1A1A2E"/>
          <w:sz w:val="20"/>
        </w:rPr>
        <w:t xml:space="preserve">3.  </w:t>
      </w:r>
      <w:r>
        <w:rPr>
          <w:rFonts w:ascii="Arial" w:hAnsi="Arial"/>
          <w:b w:val="0"/>
          <w:i w:val="0"/>
          <w:color w:val="2D2D2D"/>
          <w:sz w:val="20"/>
        </w:rPr>
        <w:t>Ask WebFX three questions: what is our total monthly spend, what does it cover, and what is your plan for AI search (GEO) and AI-driven outbound? The answers frame the consolidation decision.</w:t>
      </w:r>
    </w:p>
    <w:p>
      <w:pPr>
        <w:pStyle w:val="ListBullet"/>
        <w:spacing w:after="60" w:line="283" w:lineRule="auto"/>
      </w:pPr>
      <w:r>
        <w:rPr>
          <w:rFonts w:ascii="Arial" w:hAnsi="Arial"/>
          <w:b/>
          <w:i w:val="0"/>
          <w:color w:val="1A1A2E"/>
          <w:sz w:val="20"/>
        </w:rPr>
        <w:t xml:space="preserve">4.  </w:t>
      </w:r>
      <w:r>
        <w:rPr>
          <w:rFonts w:ascii="Arial" w:hAnsi="Arial"/>
          <w:b w:val="0"/>
          <w:i w:val="0"/>
          <w:color w:val="2D2D2D"/>
          <w:sz w:val="20"/>
        </w:rPr>
        <w:t>Claim the YouTube channel for real. Four subscribers today; it is the natural home for the video content that reaches younger buyers.</w:t>
      </w:r>
    </w:p>
    <w:p>
      <w:pPr>
        <w:pStyle w:val="ListBullet"/>
        <w:spacing w:after="60" w:line="283" w:lineRule="auto"/>
      </w:pPr>
      <w:r>
        <w:rPr>
          <w:rFonts w:ascii="Arial" w:hAnsi="Arial"/>
          <w:b/>
          <w:i w:val="0"/>
          <w:color w:val="1A1A2E"/>
          <w:sz w:val="20"/>
        </w:rPr>
        <w:t xml:space="preserve">5.  </w:t>
      </w:r>
      <w:r>
        <w:rPr>
          <w:rFonts w:ascii="Arial" w:hAnsi="Arial"/>
          <w:b w:val="0"/>
          <w:i w:val="0"/>
          <w:color w:val="2D2D2D"/>
          <w:sz w:val="20"/>
        </w:rPr>
        <w:t>List your 10 best closed accounts. They become the ICP seed for the AI Lead Gen pilot and the basis for anonymized case-study content.</w:t>
      </w:r>
    </w:p>
    <w:p>
      <w:pPr>
        <w:pStyle w:val="Heading1"/>
        <w:pageBreakBefore/>
        <w:spacing w:before="0"/>
        <w:pBdr>
          <w:bottom w:val="single" w:sz="12" w:space="3" w:color="F67D4B"/>
        </w:pBdr>
      </w:pPr>
      <w:r>
        <w:rPr>
          <w:rFonts w:ascii="Arial" w:hAnsi="Arial"/>
          <w:b/>
          <w:i w:val="0"/>
          <w:color w:val="006DB6"/>
          <w:sz w:val="30"/>
        </w:rPr>
        <w:t>18.  Questions We Usually Get</w:t>
      </w:r>
    </w:p>
    <w:p>
      <w:pPr>
        <w:spacing w:after="120"/>
      </w:pPr>
      <w:r>
        <w:rPr>
          <w:rFonts w:ascii="Arial" w:hAnsi="Arial"/>
          <w:b w:val="0"/>
          <w:i w:val="0"/>
          <w:color w:val="2D2D2D"/>
          <w:sz w:val="21"/>
        </w:rPr>
        <w:t>The honest answers to the questions the SC Fuels team is most likely asking.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4"/>
        <w:gridCol w:w="4824"/>
      </w:tblGrid>
      <w:tr>
        <w:trPr>
          <w:cantSplit w:val="true"/>
        </w:trPr>
        <w:tc>
          <w:tcPr>
            <w:tcW w:type="dxa" w:w="2894"/>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Question</w:t>
            </w:r>
          </w:p>
        </w:tc>
        <w:tc>
          <w:tcPr>
            <w:tcW w:type="dxa" w:w="6754"/>
            <w:shd w:val="clear" w:color="auto" w:fill="006DB6"/>
            <w:vAlign w:val="center"/>
            <w:tcMar>
              <w:top w:w="40" w:type="dxa"/>
              <w:bottom w:w="40" w:type="dxa"/>
              <w:left w:w="90" w:type="dxa"/>
              <w:right w:w="90" w:type="dxa"/>
            </w:tcMar>
            <w:tcBorders>
              <w:bottom w:val="single" w:sz="4" w:space="0" w:color="006DB6"/>
            </w:tcBorders>
          </w:tcPr>
          <w:p>
            <w:pPr>
              <w:spacing w:after="20" w:before="20" w:line="259" w:lineRule="auto"/>
            </w:pPr>
            <w:r/>
            <w:r>
              <w:rPr>
                <w:rFonts w:ascii="Arial" w:hAnsi="Arial"/>
                <w:b/>
                <w:i w:val="0"/>
                <w:color w:val="FFFFFF"/>
                <w:sz w:val="18"/>
              </w:rPr>
              <w:t>Our honest answer</w:t>
            </w:r>
          </w:p>
        </w:tc>
      </w:tr>
      <w:tr>
        <w:trPr>
          <w:cantSplit w:val="true"/>
        </w:trPr>
        <w:tc>
          <w:tcPr>
            <w:tcW w:type="dxa" w:w="289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We already pay WebFX. Why add Technijian?</w:t>
            </w:r>
          </w:p>
        </w:tc>
        <w:tc>
          <w:tcPr>
            <w:tcW w:type="dxa" w:w="675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Keep them — they do good work on traditional SEO. We add the layers they don't: AI-search (GEO), AI-driven outbound lead gen, and internal AI (Salesforce, credit). We run alongside WebFX; consolidating anything later is optional and only if the engine proves out.</w:t>
            </w:r>
          </w:p>
        </w:tc>
      </w:tr>
      <w:tr>
        <w:trPr>
          <w:cantSplit w:val="true"/>
        </w:trPr>
        <w:tc>
          <w:tcPr>
            <w:tcW w:type="dxa" w:w="289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Isn't AI mostly hype right now?</w:t>
            </w:r>
          </w:p>
        </w:tc>
        <w:tc>
          <w:tcPr>
            <w:tcW w:type="dxa" w:w="675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A lot of it is. That's why we start with simple, proven automations that pay back fast — not autonomous agents. Your own parent, Pilot, already booked a concrete AI win (the 27→3-day onboarding Derek cited). Same discipline, applied to your growth and ops.</w:t>
            </w:r>
          </w:p>
        </w:tc>
      </w:tr>
      <w:tr>
        <w:trPr>
          <w:cantSplit w:val="true"/>
        </w:trPr>
        <w:tc>
          <w:tcPr>
            <w:tcW w:type="dxa" w:w="289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Is our data — customer, pricing, credit — safe?</w:t>
            </w:r>
          </w:p>
        </w:tc>
        <w:tc>
          <w:tcPr>
            <w:tcW w:type="dxa" w:w="675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Yes. Sensitive data never touches a public AI model; we deploy private, governed systems with human review on anything customer- or compliance-facing, led by a CISSP-certified team. The free Nexus Assess baselines your security posture first.</w:t>
            </w:r>
          </w:p>
        </w:tc>
      </w:tr>
      <w:tr>
        <w:trPr>
          <w:cantSplit w:val="true"/>
        </w:trPr>
        <w:tc>
          <w:tcPr>
            <w:tcW w:type="dxa" w:w="289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We're busy. Do we have bandwidth for another vendor?</w:t>
            </w:r>
          </w:p>
        </w:tc>
        <w:tc>
          <w:tcPr>
            <w:tcW w:type="dxa" w:w="675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The goal is to give your reps time back, not add work. Technijian runs the build and cadence; the team reviews what the AI drafts. The pilot is designed to slot in beside WebFX, InsightView, FleetSeek, and Salesforce — not replace your stack.</w:t>
            </w:r>
          </w:p>
        </w:tc>
      </w:tr>
      <w:tr>
        <w:trPr>
          <w:cantSplit w:val="true"/>
        </w:trPr>
        <w:tc>
          <w:tcPr>
            <w:tcW w:type="dxa" w:w="289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What if it doesn't work?</w:t>
            </w:r>
          </w:p>
        </w:tc>
        <w:tc>
          <w:tcPr>
            <w:tcW w:type="dxa" w:w="6754"/>
            <w:shd w:val="clear" w:color="auto" w:fill="F4F6F8"/>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The entry is a fixed-price 90-day pilot with a defined success metric (Section 15), month-to-month, no long lock-in. If it hasn't produced a usable pipeline and AI-search movement by day 90, you're under no obligation to continue.</w:t>
            </w:r>
          </w:p>
        </w:tc>
      </w:tr>
      <w:tr>
        <w:trPr>
          <w:cantSplit w:val="true"/>
        </w:trPr>
        <w:tc>
          <w:tcPr>
            <w:tcW w:type="dxa" w:w="289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i w:val="0"/>
                <w:color w:val="2D2D2D"/>
                <w:sz w:val="18"/>
              </w:rPr>
              <w:t>Will this disrupt the website rebuild we already budgeted?</w:t>
            </w:r>
          </w:p>
        </w:tc>
        <w:tc>
          <w:tcPr>
            <w:tcW w:type="dxa" w:w="6754"/>
            <w:shd w:val="clear" w:color="auto" w:fill="FFFFFF"/>
            <w:vAlign w:val="center"/>
            <w:tcMar>
              <w:top w:w="40" w:type="dxa"/>
              <w:bottom w:w="40" w:type="dxa"/>
              <w:left w:w="90" w:type="dxa"/>
              <w:right w:w="90" w:type="dxa"/>
            </w:tcMar>
            <w:tcBorders>
              <w:bottom w:val="single" w:sz="2" w:space="0" w:color="E9ECEF"/>
            </w:tcBorders>
          </w:tcPr>
          <w:p>
            <w:pPr>
              <w:spacing w:after="20" w:before="20" w:line="259" w:lineRule="auto"/>
            </w:pPr>
            <w:r/>
            <w:r>
              <w:rPr>
                <w:rFonts w:ascii="Arial" w:hAnsi="Arial"/>
                <w:b w:val="0"/>
                <w:i w:val="0"/>
                <w:color w:val="2D2D2D"/>
                <w:sz w:val="18"/>
              </w:rPr>
              <w:t>No — it accelerates it. The AI-search quick wins (llms.txt, FAQ schema, static-HTML) are exactly what the rebuild should bake in from day one, so the pilot de-risks the rebuild rather than competing with it.</w:t>
            </w:r>
          </w:p>
        </w:tc>
      </w:tr>
    </w:tbl>
    <w:p>
      <w:pPr>
        <w:spacing w:after="120"/>
      </w:pPr>
    </w:p>
    <w:p>
      <w:pPr>
        <w:pStyle w:val="Heading1"/>
        <w:pageBreakBefore/>
        <w:spacing w:before="0"/>
        <w:pBdr>
          <w:bottom w:val="single" w:sz="12" w:space="3" w:color="F67D4B"/>
        </w:pBdr>
      </w:pPr>
      <w:r>
        <w:rPr>
          <w:rFonts w:ascii="Arial" w:hAnsi="Arial"/>
          <w:b/>
          <w:i w:val="0"/>
          <w:color w:val="006DB6"/>
          <w:sz w:val="30"/>
        </w:rPr>
        <w:t>19.  Conclusion &amp; Next Steps</w:t>
      </w:r>
    </w:p>
    <w:p>
      <w:pPr>
        <w:spacing w:after="120"/>
      </w:pPr>
      <w:r>
        <w:rPr>
          <w:rFonts w:ascii="Arial" w:hAnsi="Arial"/>
          <w:b w:val="0"/>
          <w:i w:val="0"/>
          <w:color w:val="2D2D2D"/>
          <w:sz w:val="21"/>
        </w:rPr>
        <w:t>SC Fuels enters mid-2026 with a genuinely strong digital foundation — dominant brand rankings, a real retention moat in the portals, and a capable SEO partner in WebFX. The audit also shows a clear pattern: the site reflects 2020-era practices in a 2026, AI-first search world, and there is no AI-driven outbound or internal automation yet. Both are squarely fixable, and both map directly to the goal Derek named — grow without simply adding salespeople.</w:t>
      </w:r>
    </w:p>
    <w:p>
      <w:pPr>
        <w:spacing w:after="120"/>
      </w:pPr>
      <w:r>
        <w:rPr>
          <w:rFonts w:ascii="Arial" w:hAnsi="Arial"/>
          <w:b/>
          <w:i w:val="0"/>
          <w:color w:val="1A1A2E"/>
          <w:sz w:val="21"/>
        </w:rPr>
        <w:t xml:space="preserve">What we committed to.  </w:t>
      </w:r>
      <w:r>
        <w:rPr>
          <w:rFonts w:ascii="Arial" w:hAnsi="Arial"/>
          <w:b w:val="0"/>
          <w:i w:val="0"/>
          <w:color w:val="2D2D2D"/>
          <w:sz w:val="21"/>
        </w:rPr>
        <w:t>As promised on June 2, this revision delivers the second-opinion site analysis, the honest WebFX read, and the AI growth plan in one place.</w:t>
      </w:r>
    </w:p>
    <w:tbl>
      <w:tblPr>
        <w:tblW w:type="auto" w:w="0"/>
        <w:jc w:val="center"/>
        <w:tblLook w:firstColumn="1" w:firstRow="1" w:lastColumn="0" w:lastRow="0" w:noHBand="0" w:noVBand="1" w:val="04A0"/>
      </w:tblPr>
      <w:tblGrid>
        <w:gridCol w:w="9648"/>
      </w:tblGrid>
      <w:tr>
        <w:trPr>
          <w:cantSplit w:val="true"/>
        </w:trPr>
        <w:tc>
          <w:tcPr>
            <w:tcW w:type="dxa" w:w="9648"/>
            <w:shd w:val="clear" w:color="auto" w:fill="F4F6F8"/>
            <w:tcBorders>
              <w:top w:val="single" w:sz="4" w:space="0" w:color="E9ECEF"/>
              <w:bottom w:val="single" w:sz="4" w:space="0" w:color="E9ECEF"/>
              <w:right w:val="single" w:sz="4" w:space="0" w:color="E9ECEF"/>
              <w:left w:val="single" w:sz="28" w:space="0" w:color="F67D4B"/>
            </w:tcBorders>
            <w:tcMar>
              <w:top w:w="90" w:type="dxa"/>
              <w:bottom w:w="90" w:type="dxa"/>
              <w:left w:w="160" w:type="dxa"/>
              <w:right w:w="140" w:type="dxa"/>
            </w:tcMar>
          </w:tcPr>
          <w:p>
            <w:pPr>
              <w:spacing w:after="60"/>
            </w:pPr>
            <w:r/>
            <w:r>
              <w:rPr>
                <w:rFonts w:ascii="Arial" w:hAnsi="Arial"/>
                <w:b/>
                <w:i w:val="0"/>
                <w:color w:val="F67D4B"/>
                <w:sz w:val="21"/>
              </w:rPr>
              <w:t>Recommended next step</w:t>
            </w:r>
          </w:p>
          <w:p>
            <w:pPr>
              <w:spacing w:after="40" w:line="283" w:lineRule="auto"/>
            </w:pPr>
            <w:r>
              <w:rPr>
                <w:rFonts w:ascii="Arial" w:hAnsi="Arial"/>
                <w:b w:val="0"/>
                <w:i w:val="0"/>
                <w:color w:val="2D2D2D"/>
                <w:sz w:val="19"/>
              </w:rPr>
              <w:t>Bring this to the working session with your number-two and your Director of Sales &amp; Marketing, with their questions in hand. We will walk the team through the engine, answer everything, and agree a small entry phase (the AI Lead Gen pilot + the quick technical wins) that proves the lift before any larger build.</w:t>
            </w:r>
          </w:p>
          <w:p>
            <w:pPr>
              <w:spacing w:after="40" w:line="283" w:lineRule="auto"/>
            </w:pPr>
            <w:r>
              <w:rPr>
                <w:rFonts w:ascii="Arial" w:hAnsi="Arial"/>
                <w:b/>
                <w:i w:val="0"/>
                <w:color w:val="1A1A2E"/>
                <w:sz w:val="19"/>
              </w:rPr>
              <w:t xml:space="preserve">To schedule.  </w:t>
            </w:r>
            <w:r>
              <w:rPr>
                <w:rFonts w:ascii="Arial" w:hAnsi="Arial"/>
                <w:b w:val="0"/>
                <w:i w:val="0"/>
                <w:color w:val="2D2D2D"/>
                <w:sz w:val="19"/>
              </w:rPr>
              <w:t>Use “Book a meeting” in Ravi’s email signature to grab a time — and we can cover this plan plus the broader set of AI strategies Technijian is putting into place for itself and its clients.</w:t>
            </w:r>
          </w:p>
        </w:tc>
      </w:tr>
    </w:tbl>
    <w:p>
      <w:pPr>
        <w:spacing w:after="140"/>
      </w:pPr>
    </w:p>
    <w:p>
      <w:pPr>
        <w:spacing w:after="120"/>
      </w:pPr>
    </w:p>
    <w:p>
      <w:pPr>
        <w:jc w:val="center"/>
      </w:pPr>
      <w:r>
        <w:rPr>
          <w:rFonts w:ascii="Arial" w:hAnsi="Arial"/>
          <w:b/>
          <w:i w:val="0"/>
          <w:color w:val="006DB6"/>
          <w:sz w:val="22"/>
        </w:rPr>
        <w:t>Technijian Technology Solutions</w:t>
      </w:r>
    </w:p>
    <w:p>
      <w:pPr>
        <w:jc w:val="center"/>
      </w:pPr>
      <w:r>
        <w:rPr>
          <w:rFonts w:ascii="Arial" w:hAnsi="Arial"/>
          <w:b w:val="0"/>
          <w:i/>
          <w:color w:val="59595B"/>
          <w:sz w:val="19"/>
        </w:rPr>
        <w:t>technology as a solution</w:t>
      </w:r>
    </w:p>
    <w:p>
      <w:pPr>
        <w:jc w:val="center"/>
      </w:pPr>
      <w:r>
        <w:rPr>
          <w:rFonts w:ascii="Arial" w:hAnsi="Arial"/>
          <w:b w:val="0"/>
          <w:i w:val="0"/>
          <w:color w:val="59595B"/>
          <w:sz w:val="18"/>
        </w:rPr>
        <w:t>18 Technology Dr., Ste 141, Irvine, CA 92618  ·  949.379.8499  ·  technijian.com</w:t>
      </w:r>
    </w:p>
    <w:p>
      <w:pPr>
        <w:jc w:val="center"/>
      </w:pPr>
      <w:r>
        <w:rPr>
          <w:rFonts w:ascii="Arial" w:hAnsi="Arial"/>
          <w:b w:val="0"/>
          <w:i/>
          <w:color w:val="59595B"/>
          <w:sz w:val="16"/>
        </w:rPr>
        <w:t>Sources: Semrush Domain Overview · The HOTH SEO Audit · June 2, 2026 strategy session · published Technijian &amp; WebFX rates</w:t>
      </w:r>
    </w:p>
    <w:sectPr w:rsidR="00FC693F" w:rsidRPr="0006063C" w:rsidSect="00034616">
      <w:footerReference w:type="default" r:id="rId9"/>
      <w:headerReference w:type="default" r:id="rId10"/>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5" w:color="F67D4B"/>
      </w:pBdr>
    </w:pPr>
    <w:r/>
    <w:r>
      <w:rPr>
        <w:rFonts w:ascii="Arial" w:hAnsi="Arial"/>
        <w:b w:val="0"/>
        <w:i w:val="0"/>
        <w:color w:val="59595B"/>
        <w:sz w:val="16"/>
      </w:rPr>
      <w:t xml:space="preserve">Confidential  |  Technijian Technology Solutions  |  technijian.com  |  Page </w:t>
    </w:r>
    <w:fldSimple w:instr="PAGE">
      <w:r>
        <w:rPr>
          <w:rFonts w:ascii="Arial" w:hAnsi="Arial"/>
          <w:sz w:val="16"/>
          <w:color w:val="59595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b w:val="0"/>
        <w:i/>
        <w:color w:val="9AA0A6"/>
        <w:sz w:val="16"/>
      </w:rPr>
      <w:t>SC Fuels  —  AI Growth &amp; Digital Strategy  —  Revision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rial" w:hAnsi="Arial"/>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6DB6"/>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A1A2E"/>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6D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