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4"/>
          <w:szCs w:val="54"/>
        </w:rPr>
        <w:t xml:space="preserve">THRIVEWELL SCHOOLS</w:t>
      </w:r>
    </w:p>
    <w:p>
      <w:pPr>
        <w:spacing w:after="80"/>
        <w:jc w:val="center"/>
      </w:pPr>
      <w:r>
        <w:rPr>
          <w:rFonts w:ascii="Open Sans" w:cs="Open Sans" w:eastAsia="Open Sans" w:hAnsi="Open Sans"/>
          <w:b w:val="false"/>
          <w:bCs w:val="false"/>
          <w:color w:val="59595B"/>
          <w:sz w:val="24"/>
          <w:szCs w:val="24"/>
        </w:rPr>
        <w:t xml:space="preserve">Restorative Justice &amp; Trauma-Informed Professional Development  —  Berkeley, CA</w:t>
      </w:r>
    </w:p>
    <w:p>
      <w:pPr>
        <w:spacing w:after="80"/>
        <w:jc w:val="center"/>
      </w:pPr>
      <w:r>
        <w:rPr>
          <w:rFonts w:ascii="Open Sans" w:cs="Open Sans" w:eastAsia="Open Sans" w:hAnsi="Open Sans"/>
          <w:b w:val="false"/>
          <w:bCs w:val="false"/>
          <w:color w:val="006DB6"/>
          <w:sz w:val="40"/>
          <w:szCs w:val="40"/>
        </w:rPr>
        <w:t xml:space="preserve">AI-Driven Growth Blueprint</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2026-06-08</w:t>
      </w:r>
    </w:p>
    <w:p>
      <w:pPr>
        <w:spacing w:after="40"/>
        <w:jc w:val="center"/>
      </w:pPr>
      <w:r>
        <w:rPr>
          <w:rFonts w:ascii="Open Sans" w:cs="Open Sans" w:eastAsia="Open Sans" w:hAnsi="Open Sans"/>
          <w:color w:val="59595B"/>
          <w:sz w:val="22"/>
          <w:szCs w:val="22"/>
        </w:rPr>
        <w:t xml:space="preserve">Berkeley, California  |  thrivewellschools.com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ThriveWell Schools</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$8B</w:t>
            </w:r>
          </w:p>
          <w:p>
            <w:pPr>
              <w:spacing w:after="0"/>
              <w:jc w:val="center"/>
            </w:pPr>
            <w:r>
              <w:rPr>
                <w:rFonts w:ascii="Open Sans" w:cs="Open Sans" w:eastAsia="Open Sans" w:hAnsi="Open Sans"/>
                <w:color w:val="59595B"/>
                <w:sz w:val="17"/>
                <w:szCs w:val="17"/>
              </w:rPr>
              <w:t xml:space="preserve">CA Wellness Funding (CYBHI + CCSPP)</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70%</w:t>
            </w:r>
          </w:p>
          <w:p>
            <w:pPr>
              <w:spacing w:after="0"/>
              <w:jc w:val="center"/>
            </w:pPr>
            <w:r>
              <w:rPr>
                <w:rFonts w:ascii="Open Sans" w:cs="Open Sans" w:eastAsia="Open Sans" w:hAnsi="Open Sans"/>
                <w:color w:val="59595B"/>
                <w:sz w:val="17"/>
                <w:szCs w:val="17"/>
              </w:rPr>
              <w:t xml:space="preserve">Referral Drop — Antioch-area Middle School</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53%</w:t>
            </w:r>
          </w:p>
          <w:p>
            <w:pPr>
              <w:spacing w:after="0"/>
              <w:jc w:val="center"/>
            </w:pPr>
            <w:r>
              <w:rPr>
                <w:rFonts w:ascii="Open Sans" w:cs="Open Sans" w:eastAsia="Open Sans" w:hAnsi="Open Sans"/>
                <w:color w:val="59595B"/>
                <w:sz w:val="17"/>
                <w:szCs w:val="17"/>
              </w:rPr>
              <w:t xml:space="preserve">Teacher Burnout Rate (RAND 2025)</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37%</w:t>
            </w:r>
          </w:p>
          <w:p>
            <w:pPr>
              <w:spacing w:after="0"/>
              <w:jc w:val="center"/>
            </w:pPr>
            <w:r>
              <w:rPr>
                <w:rFonts w:ascii="Open Sans" w:cs="Open Sans" w:eastAsia="Open Sans" w:hAnsi="Open Sans"/>
                <w:color w:val="59595B"/>
                <w:sz w:val="17"/>
                <w:szCs w:val="17"/>
              </w:rPr>
              <w:t xml:space="preserve">Schools Without Formal SEL Curriculum</w:t>
            </w:r>
          </w:p>
        </w:tc>
        <w:tc>
          <w:tcPr>
            <w:tcW w:type="dxa" w:w="1872"/>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6</w:t>
            </w:r>
          </w:p>
          <w:p>
            <w:pPr>
              <w:spacing w:after="0"/>
              <w:jc w:val="center"/>
            </w:pPr>
            <w:r>
              <w:rPr>
                <w:rFonts w:ascii="Open Sans" w:cs="Open Sans" w:eastAsia="Open Sans" w:hAnsi="Open Sans"/>
                <w:color w:val="59595B"/>
                <w:sz w:val="17"/>
                <w:szCs w:val="17"/>
              </w:rPr>
              <w:t xml:space="preserve">ThriveWell Program Tracks</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 Schools occupies a unique and urgent position in California's K-12 education landscape. Founded by Dr. Jennifer Lynn-Whaley, PhD — a researcher and practitioner with deep roots in criminal justice, neuroscience of behavior, and school-based trauma prevention — ThriveWell delivers what no software platform or off-the-shelf curriculum can: implementation-level coaching that shifts school culture from the inside out.</w:t>
      </w:r>
    </w:p>
    <w:p>
      <w:pPr>
        <w:spacing w:after="140" w:before="0" w:line="320"/>
        <w:jc w:val="both"/>
      </w:pPr>
      <w:r>
        <w:rPr>
          <w:rFonts w:ascii="Open Sans" w:cs="Open Sans" w:eastAsia="Open Sans" w:hAnsi="Open Sans"/>
          <w:b w:val="false"/>
          <w:bCs w:val="false"/>
          <w:i w:val="false"/>
          <w:iCs w:val="false"/>
          <w:color w:val="59595B"/>
          <w:sz w:val="22"/>
          <w:szCs w:val="22"/>
        </w:rPr>
        <w:t xml:space="preserve">The results are documented. At an Antioch-area middle school, ThriveWell's trauma-informed practices produced a 70% drop in behavioral referrals within a single school year. The mechanism was not a program installed in isolation — it was universal staff training, ongoing coaching, and a shared accountability culture built across every adult in the building.</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committed $8 billion in combined investment to children's behavioral health and community school partnerships. Districts are receiving discretionary block grants, LCFF cost-of-living increases, and federal Title IV allocations — all earmarked for exactly the kind of work ThriveWell does. The funding window is open now, and districts are actively searching for credible, research-backed partners.</w:t>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maps three moves: getting ThriveWell found by district leaders who are already searching for trauma-informed professional development, winning named-account district relationships through AI-assisted account intelligence and grant application support, and scaling delivery beyond in-person constraints through an online training platform that removes Jennifer's geographic ceiling.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ThriveWell holds the uncontested corner of California's K-12 wellness market: Restorative Justice + Trauma-Informed Practice + School-to-Prison Pipeline Prevention, delivered through a PhD-credentialed implementation coach.</w:t>
            </w:r>
          </w:p>
          <w:p>
            <w:pPr>
              <w:keepNext/>
              <w:keepLines/>
              <w:spacing w:after="60" w:before="40" w:line="300"/>
            </w:pPr>
            <w:r>
              <w:rPr>
                <w:rFonts w:ascii="Open Sans" w:cs="Open Sans" w:eastAsia="Open Sans" w:hAnsi="Open Sans"/>
                <w:color w:val="59595B"/>
                <w:sz w:val="20"/>
                <w:szCs w:val="20"/>
              </w:rPr>
              <w:t xml:space="preserve">No software platform can replicate this. No off-the-shelf curriculum carries Jennifer's research depth. The question is not whether ThriveWell's work is needed — it is — but how fast ThriveWell can reach the districts that most need it.</w:t>
            </w:r>
          </w:p>
          <w:p>
            <w:pPr>
              <w:keepNext w:val="false"/>
              <w:keepLines/>
              <w:spacing w:after="60" w:before="40" w:line="300"/>
            </w:pPr>
            <w:r>
              <w:rPr>
                <w:rFonts w:ascii="Open Sans" w:cs="Open Sans" w:eastAsia="Open Sans" w:hAnsi="Open Sans"/>
                <w:color w:val="59595B"/>
                <w:sz w:val="20"/>
                <w:szCs w:val="20"/>
              </w:rPr>
              <w:t xml:space="preserve">Technijian's role: build the digital infrastructure that makes ThriveWell findable, scalable, and measurably effective at the speed California's funding window demands.</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ThriveWell's internal contract values and active client count were not available at time of preparation. Every ROI projection is labeled illustrative and calibrates to real numbers after a short discovery call — the specific questions are in Section 15.</w:t>
      </w:r>
    </w:p>
    <w:p>
      <w:pPr>
        <w:pStyle w:val="Heading1"/>
        <w:keepNext/>
        <w:pageBreakBefore/>
        <w:spacing w:after="120" w:before="0" w:line="240"/>
      </w:pPr>
      <w:r>
        <w:rPr>
          <w:rFonts w:ascii="Open Sans" w:cs="Open Sans" w:eastAsia="Open Sans" w:hAnsi="Open Sans"/>
          <w:color w:val="FFFFFF"/>
          <w:sz w:val="2"/>
          <w:szCs w:val="2"/>
        </w:rPr>
        <w:t xml:space="preserve">02  About ThriveWell Schools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02  About ThriveWell Schools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Field</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Organization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Schools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thrivewellschools.com</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Founder</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 Jennifer Lynn-Whaley, PhD — Criminal Justice, Public Administration &amp; Public Policy (American University)</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Location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Berkeley, CA (serving California K-12 school districts)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Business type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B2B professional development &amp; consulting — school district clients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Signature credential</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PhD research bridging criminology, neuroscience, and K-12 education practice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 publication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Neuroscience Behind Misbehavior" — foundational framework for ThriveWell's approach</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Proven outcome</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70% drop in behavioral referrals at an Antioch-area middle school following district-wide implementation</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Delivery model</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Workshops + ongoing coaching + technical assistance; in-person primary; virtual capacity emerging</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Free consultation</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30-minute discovery call available at thrivewellschools.com</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ThriveWell Approach</w:t>
      </w:r>
    </w:p>
    <w:p>
      <w:pPr>
        <w:spacing w:after="140" w:before="0" w:line="320"/>
        <w:jc w:val="both"/>
      </w:pPr>
      <w:r>
        <w:rPr>
          <w:rFonts w:ascii="Open Sans" w:cs="Open Sans" w:eastAsia="Open Sans" w:hAnsi="Open Sans"/>
          <w:b w:val="false"/>
          <w:bCs w:val="false"/>
          <w:i w:val="false"/>
          <w:iCs w:val="false"/>
          <w:color w:val="59595B"/>
          <w:sz w:val="22"/>
          <w:szCs w:val="22"/>
        </w:rPr>
        <w:t xml:space="preserve">Jennifer's background is rare: a criminologist and public policy researcher who spent years studying the school-to-prison pipeline from the justice system side before crossing over to transform how schools prevent it. Where most professional development vendors offer curriculum, ThriveWell offers implementation — the difference between a framework teachers learn and then forget versus a cultural shift that holds through leadership transitions and budget cycles.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approach is built on three research foundations: ACE (Adverse Childhood Experiences) science, neuroscience of behavior and brain-body states, and restorative justice principles drawn from evidence-based programs with documented impact on exclusionary discipline. These are not separate modules — they are integrated into a coherent framework that moves school adults from reactive punishment to proactive co-regulation.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What Makes ThriveWell Different</w:t>
            </w:r>
          </w:p>
          <w:p>
            <w:pPr>
              <w:keepNext/>
              <w:keepLines/>
              <w:spacing w:after="60" w:before="40" w:line="300"/>
            </w:pPr>
            <w:r>
              <w:rPr>
                <w:rFonts w:ascii="Open Sans" w:cs="Open Sans" w:eastAsia="Open Sans" w:hAnsi="Open Sans"/>
                <w:color w:val="59595B"/>
                <w:sz w:val="20"/>
                <w:szCs w:val="20"/>
              </w:rPr>
              <w:t xml:space="preserve">Implementation depth: ThriveWell stays — bi-monthly coaching, classroom observations, co-planning, and sustainability planning beyond the initial workshop.</w:t>
            </w:r>
          </w:p>
          <w:p>
            <w:pPr>
              <w:keepNext/>
              <w:keepLines/>
              <w:spacing w:after="60" w:before="40" w:line="300"/>
            </w:pPr>
            <w:r>
              <w:rPr>
                <w:rFonts w:ascii="Open Sans" w:cs="Open Sans" w:eastAsia="Open Sans" w:hAnsi="Open Sans"/>
                <w:color w:val="59595B"/>
                <w:sz w:val="20"/>
                <w:szCs w:val="20"/>
              </w:rPr>
              <w:t xml:space="preserve">Research credibility: Jennifer's PhD in criminal justice and public policy gives ThriveWell a research base that district leadership and school boards recognize as rigorous.</w:t>
            </w:r>
          </w:p>
          <w:p>
            <w:pPr>
              <w:keepNext w:val="false"/>
              <w:keepLines/>
              <w:spacing w:after="60" w:before="40" w:line="300"/>
            </w:pPr>
            <w:r>
              <w:rPr>
                <w:rFonts w:ascii="Open Sans" w:cs="Open Sans" w:eastAsia="Open Sans" w:hAnsi="Open Sans"/>
                <w:color w:val="59595B"/>
                <w:sz w:val="20"/>
                <w:szCs w:val="20"/>
              </w:rPr>
              <w:t xml:space="preserve">The prison pipeline lens: Most SEL vendors stop at student behavior. ThriveWell connects classroom discipline to juvenile justice outcomes — a frame that resonates with equity-focused superintendents and board members.</w:t>
            </w:r>
          </w:p>
        </w:tc>
      </w:tr>
    </w:tbl>
    <w:p>
      <w:pPr>
        <w:pStyle w:val="Heading2"/>
        <w:keepNext/>
        <w:keepLines/>
        <w:spacing w:after="120" w:before="280"/>
      </w:pPr>
      <w:r>
        <w:rPr>
          <w:rFonts w:ascii="Open Sans" w:cs="Open Sans" w:eastAsia="Open Sans" w:hAnsi="Open Sans"/>
          <w:b/>
          <w:bCs/>
          <w:color w:val="006DB6"/>
          <w:sz w:val="26"/>
          <w:szCs w:val="26"/>
        </w:rPr>
        <w:t xml:space="preserve">The ThriveWell Program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Program</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Strong Beginnings</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circles, classroom norms, and community-building for the first weeks of school — resets relational culture at the start of each year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Foundations in Trauma</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training in ACE science, neuroscience of behavior, and brain-body connection — the conceptual base for everything else ThriveWell does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Discipline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Shifts school culture from punitive response to accountability and restoration — reduces suspensions and exclusionary discipline referrals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Responding to Dysregulated Students</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Practical de-escalation tools and co-regulation techniques for classroom teachers — what to do in the moment, not just after the fact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Resilience Workshop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Burnout prevention and vicarious trauma processing for educators — addresses the staff mental health crisis that drives turnover</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Improving Staff Culture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Organizational culture remediation for toxic staff environments — supports leadership teams managing interpersonal conflict and morale crises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Wellness Rooms Program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Tier I universal mental health support — physical space and protocol that absorbs dysregulated students before counselor or admin referral</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Consultation &amp; Technical Support</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Bi-monthly coaching calls, classroom observations, and co-planning — implementation support that makes training stick</w:t>
            </w:r>
          </w:p>
        </w:tc>
      </w:tr>
    </w:tbl>
    <w:p>
      <w:pPr>
        <w:pStyle w:val="Heading1"/>
        <w:keepNext/>
        <w:pageBreakBefore/>
        <w:spacing w:after="120" w:before="0" w:line="240"/>
      </w:pPr>
      <w:r>
        <w:rPr>
          <w:rFonts w:ascii="Open Sans" w:cs="Open Sans" w:eastAsia="Open Sans" w:hAnsi="Open Sans"/>
          <w:color w:val="FFFFFF"/>
          <w:sz w:val="2"/>
          <w:szCs w:val="2"/>
        </w:rPr>
        <w:t xml:space="preserve">03  The Discipline Crisis &amp; Mental Health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03  The Discipline Crisis &amp; Mental Health Landscape</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Problem ThriveWell Was Built to Solve</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California's K-12 schools are navigating an intersecting set of crises that compound each other: a student mental health emergency, a teacher burnout epidemic, and chronic over-reliance on exclusionary discipline that research consistently links to lower graduation rates and higher incarceration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Crisis</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ThriveWell Program That Addresses It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Student dysregulation &amp; behavioral referrals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Suspension rates disproportionately impact students of color and students with IEPs</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Restorative Discipline + Responding to Dysregulated Students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Teacher burnout</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53% of teachers report burnout (RAND 2025); #1 driver is student behavior management (52%)</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Resilience Workshop + Improving Staff Culture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Counselor overload</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Counselor caseloads in many CA districts run well above the recommended ratio (ASCA recommends 1:250), and a large share of referrals are behavioral rather than clinical</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Wellness Rooms Program creates Tier I buffer before counselor referral</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Vicarious trauma in staff</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78% of teachers cite insufficient administrative support (RAND 2025); high turnover follows</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Foundations in Trauma + Staff Culture training for administrators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School-to-prison pipeline</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Research consistently links exclusionary discipline (suspension/expulsion) to lower graduation rates and higher justice-system involvement</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entire ThriveWell framework — root cause intervention</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The Wellness Rooms Opportunity</w:t>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Wellness Rooms program represents the most tangible, visible product in its portfolio. Unlike abstract professional development, a Wellness Room is a physical space students can enter — and a set of practices staff can point to when explaining the school's approach to behavior.</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creates a Tier I universal support system that absorbs dysregulated students before they reach the counselor's office or the principal's door. Students learn self-regulation and coping strategies. Staff learn to guide rather than simply refer. Data collection built into the program tracks behavioral patterns over time — giving district leaders the outcome evidence that justifies renewal and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Legislative Tailwinds (2025–2026)</w:t>
            </w:r>
          </w:p>
          <w:p>
            <w:pPr>
              <w:keepNext/>
              <w:keepLines/>
              <w:spacing w:after="60" w:before="40" w:line="300"/>
            </w:pPr>
            <w:r>
              <w:rPr>
                <w:rFonts w:ascii="Open Sans" w:cs="Open Sans" w:eastAsia="Open Sans" w:hAnsi="Open Sans"/>
                <w:color w:val="59595B"/>
                <w:sz w:val="20"/>
                <w:szCs w:val="20"/>
              </w:rPr>
              <w:t xml:space="preserve">Restorative Practices in Schools Act gaining traction in Congress (Bennet, Cohen) — creates federal mandate framing for ThriveWell's core approach.</w:t>
            </w:r>
          </w:p>
          <w:p>
            <w:pPr>
              <w:keepNext/>
              <w:keepLines/>
              <w:spacing w:after="60" w:before="40" w:line="300"/>
            </w:pPr>
            <w:r>
              <w:rPr>
                <w:rFonts w:ascii="Open Sans" w:cs="Open Sans" w:eastAsia="Open Sans" w:hAnsi="Open Sans"/>
                <w:color w:val="59595B"/>
                <w:sz w:val="20"/>
                <w:szCs w:val="20"/>
              </w:rPr>
              <w:t xml:space="preserve">NIJ investing in restorative justice research — peer-reviewed validation is building.</w:t>
            </w:r>
          </w:p>
          <w:p>
            <w:pPr>
              <w:keepNext w:val="false"/>
              <w:keepLines/>
              <w:spacing w:after="60" w:before="40" w:line="300"/>
            </w:pPr>
            <w:r>
              <w:rPr>
                <w:rFonts w:ascii="Open Sans" w:cs="Open Sans" w:eastAsia="Open Sans" w:hAnsi="Open Sans"/>
                <w:color w:val="59595B"/>
                <w:sz w:val="20"/>
                <w:szCs w:val="20"/>
              </w:rPr>
              <w:t xml:space="preserve">California increasingly mandating trauma-informed approaches in school discipline policy — districts need implementation partners, not just guidance documents.</w:t>
            </w:r>
          </w:p>
        </w:tc>
      </w:tr>
    </w:tbl>
    <w:p>
      <w:pPr>
        <w:pStyle w:val="Heading1"/>
        <w:keepNext/>
        <w:pageBreakBefore/>
        <w:spacing w:after="120" w:before="0" w:line="240"/>
      </w:pPr>
      <w:r>
        <w:rPr>
          <w:rFonts w:ascii="Open Sans" w:cs="Open Sans" w:eastAsia="Open Sans" w:hAnsi="Open Sans"/>
          <w:color w:val="FFFFFF"/>
          <w:sz w:val="2"/>
          <w:szCs w:val="2"/>
        </w:rPr>
        <w:t xml:space="preserve">04  California's Historic Investment Window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04  California's Historic Investment Window</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made an extraordinary commitment to children's behavioral health and school climate — creating the largest funding window in state history for exactly the kind of work ThriveWell delivers. Understanding how to access and align with these funding streams is among the highest-value moves ThriveWell can make in the next 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Funding Source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Scale</w:t>
            </w:r>
          </w:p>
        </w:tc>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Relevance to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CYBHI + CCSPP (combined)</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~$8B combined</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Children &amp; Youth Behavioral Health Initiative and CA Community Schools Partnership Program — fund school-based mental health, wraparound services, and restorative practices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LCFF Cost-of-Living Increase (FY2026)</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~$2.1B increase</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have expanded professional development budgets — discretionary</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Discretionary Block Grants (FY2026)</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~$1.7B one-time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ADA-based allocation; fully discretionary — ideal for wellness/PD contracts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Title IV Part A (Federal)</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annual</w:t>
            </w:r>
          </w:p>
        </w:tc>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Student support and academic enrichment — PD and school climate initiatives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Federal / state SEL continuation grants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Competitive</w:t>
            </w:r>
          </w:p>
        </w:tc>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Grants for districts expanding evidence-based SEL programs (amounts vary by program and year)</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Urgency: Federal Cuts Accelerate State Dependency</w:t>
            </w:r>
          </w:p>
          <w:p>
            <w:pPr>
              <w:keepNext/>
              <w:keepLines/>
              <w:spacing w:after="60" w:before="40" w:line="300"/>
            </w:pPr>
            <w:r>
              <w:rPr>
                <w:rFonts w:ascii="Open Sans" w:cs="Open Sans" w:eastAsia="Open Sans" w:hAnsi="Open Sans"/>
                <w:color w:val="59595B"/>
                <w:sz w:val="20"/>
                <w:szCs w:val="20"/>
              </w:rPr>
              <w:t xml:space="preserve">The federal administration has moved to cancel roughly $168M in school mental health grants previously committed (a reported figure; districts should confirm their own exposure).</w:t>
            </w:r>
          </w:p>
          <w:p>
            <w:pPr>
              <w:keepNext/>
              <w:keepLines/>
              <w:spacing w:after="60" w:before="40" w:line="300"/>
            </w:pPr>
            <w:r>
              <w:rPr>
                <w:rFonts w:ascii="Open Sans" w:cs="Open Sans" w:eastAsia="Open Sans" w:hAnsi="Open Sans"/>
                <w:color w:val="59595B"/>
                <w:sz w:val="20"/>
                <w:szCs w:val="20"/>
              </w:rPr>
              <w:t xml:space="preserve">This creates an urgent shift: districts that were counting on federal dollars must now move faster to access state-level CYBHI and CCSPP funding — and they need credible partners who understand both the funding landscape and the implementation requirements.</w:t>
            </w:r>
          </w:p>
          <w:p>
            <w:pPr>
              <w:keepNext w:val="false"/>
              <w:keepLines/>
              <w:spacing w:after="60" w:before="40" w:line="300"/>
            </w:pPr>
            <w:r>
              <w:rPr>
                <w:rFonts w:ascii="Open Sans" w:cs="Open Sans" w:eastAsia="Open Sans" w:hAnsi="Open Sans"/>
                <w:color w:val="59595B"/>
                <w:sz w:val="20"/>
                <w:szCs w:val="20"/>
              </w:rPr>
              <w:t xml:space="preserve">ThriveWell is positioned to help districts navigate this transition. With AI-assisted grant application support, ThriveWell can identify open funding opportunities, align program descriptions to grant criteria, and help districts build the outcome data that makes applications competitive.</w:t>
            </w:r>
          </w:p>
        </w:tc>
      </w:tr>
    </w:tbl>
    <w:p>
      <w:pPr>
        <w:pStyle w:val="Heading1"/>
        <w:keepNext/>
        <w:pageBreakBefore/>
        <w:spacing w:after="120" w:before="0" w:line="240"/>
      </w:pPr>
      <w:r>
        <w:rPr>
          <w:rFonts w:ascii="Open Sans" w:cs="Open Sans" w:eastAsia="Open Sans" w:hAnsi="Open Sans"/>
          <w:color w:val="FFFFFF"/>
          <w:sz w:val="2"/>
          <w:szCs w:val="2"/>
        </w:rPr>
        <w:t xml:space="preserve">05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05  Where the Growth Lives</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California K-12 Market Demand Pools</w:t>
      </w:r>
    </w:p>
    <w:p>
      <w:pPr>
        <w:spacing w:after="140" w:before="0" w:line="320"/>
        <w:jc w:val="both"/>
      </w:pPr>
      <w:r>
        <w:rPr>
          <w:rFonts w:ascii="Open Sans" w:cs="Open Sans" w:eastAsia="Open Sans" w:hAnsi="Open Sans"/>
          <w:b w:val="false"/>
          <w:bCs w:val="false"/>
          <w:i w:val="false"/>
          <w:iCs w:val="false"/>
          <w:color w:val="59595B"/>
          <w:sz w:val="22"/>
          <w:szCs w:val="22"/>
        </w:rPr>
        <w:t xml:space="preserve">California has over 1,000 school districts. ThriveWell's serviceable market is not every district — it is the districts where the combination of funding access, equity urgency, and leadership readiness creates a high-probability buying environment. Five demand pools stand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Demand Pool</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District Profile</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Entry Trigger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CYBHI / CCSPP Grant Recipients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Any CA district awarded state behavioral health or community school funding — they now have earmarked dollars and a mandate to spend them on evidence-based programs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award announcement; AI account intelligence monitors grant databases</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 Suspension / CA Dashboard Red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flagged on CA Dashboard's Suspension &amp; Expulsion indicator — under board pressure to show discipline reform</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Annual CA Dashboard release (fall); board meeting public comment; news coverage</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Superintendent / Cabinet Transition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district leadership typically drives 90-day culture reset agenda — trauma-informed discipline is a flagship equity initiative for incoming superintendents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leadership change; EdSource / EdWeek district news; ACSA network</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Teacher Burnout / Retention Crisis</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with documented staff turnover, union grievances, or morale incidents — the Staff Resilience + Culture programs provide immediate relief</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Staff survey scores; news coverage; district budget emergency declarations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MTSS / PBIS Restructure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Districts rebuilding their Multi-Tiered Support System — Wellness Rooms and coaching fit directly into Tier I/II design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MTSS coordinator job posting; PBIS consultant engagement; district strategic plan</w:t>
            </w:r>
          </w:p>
        </w:tc>
      </w:tr>
    </w:tbl>
    <w:p>
      <w:pPr>
        <w:spacing w:after="0" w:before="2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growth engine is not broadcasting to all 1,000 districts. It is monitoring the 50–100 districts at any moment where one or more of these triggers has fired — and reaching them with a credible, timely offer before they find a competitor.</w:t>
      </w:r>
    </w:p>
    <w:p>
      <w:pPr>
        <w:pStyle w:val="Heading1"/>
        <w:keepNext/>
        <w:pageBreakBefore/>
        <w:spacing w:after="120" w:before="0" w:line="240"/>
      </w:pPr>
      <w:r>
        <w:rPr>
          <w:rFonts w:ascii="Open Sans" w:cs="Open Sans" w:eastAsia="Open Sans" w:hAnsi="Open Sans"/>
          <w:color w:val="FFFFFF"/>
          <w:sz w:val="2"/>
          <w:szCs w:val="2"/>
        </w:rPr>
        <w:t xml:space="preserve">06  Customer Map — Five Buyer Personas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06  Customer Map — Five Buyer Personas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buyer journey spans five distinct stakeholder types, from the cabinet officer who approves the contract to the classroom teacher whose buy-in determines whether training sticks. Each requires a different message — and AI-assisted account intelligence can identify which personas are active at any given district.</w:t>
      </w:r>
    </w:p>
    <w:p>
      <w:pPr>
        <w:spacing w:after="0" w:before="80"/>
      </w:pPr>
      <w:r>
        <w:t xml:space="preserve"/>
      </w:r>
    </w:p>
    <w:p>
      <w:pPr>
        <w:spacing w:after="80" w:before="120"/>
        <w:jc w:val="center"/>
      </w:pPr>
      <w:r>
        <w:drawing>
          <wp:inline distT="0" distB="0" distL="0" distR="0">
            <wp:extent cx="5715000" cy="3209925"/>
            <wp:effectExtent t="0" r="0" b="0" l="0"/>
            <wp:docPr id="1" name="ThriveWell Buyer Personas" descr="ThriveWell Buyer Personas" title="ThriveWell Buyer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 — Five stakeholder personas across the district-to-classroom adoption chain</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District Cabinet Champion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Superintendent, Assistant Superintendent, Cabinet Officer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Board accountability on equity metrics; CA Dashboard performance; federal/state compliance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Public pressure on suspension rates; board directives for visible equity wins; fear of CDE intervention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New CYBHI/CCSPP grant awarded; board equity resolution passed; CA Dashboard red on Suspension &amp; Expulsion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Research credibility, a proven outcome they can present to the board, and a partner who understands district politics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 comparable middle school reduced behavioral referrals by 70% in a single year. Here's how we replicate that across your district."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Low volume (1 per district) — HIGH strategic value (drives multi-site adoption)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Director of Student Services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Director of Student Services, Director of Pupil Services, Director of Special Education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Reduce referrals to admin and counselors; build sustainable MTSS/PBIS Tier I support; protect counselor caseloads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Over-referred students absorbing counselor time; teachers who send every dysregulated student to the office; no Tier I buffer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New wellness/mental health budget; board mandate to reduce exclusionary discipline; MTSS restructure project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Evidence-based Tier I program with built-in data collection; coaching for staff, not just a one-time workshop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Wellness Rooms program creates a Tier I buffer that absorbs dysregulated students before they reach your counselors — with data to show what's working."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Medium volume — PRIMARY RFP champion (controls professional development budget allocation)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Site Principal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School Principal, Assistant Principal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Reduce office referrals; improve staff morale; build parent trust; survive the daily behavior management grind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Constant behavior management consuming leadership time; burnout spreading to admin; teacher turnover driven by lack of support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High suspension rates flagged by district; staff survey showing morale crisis; new PD day budget available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Training teachers can use Monday morning; ongoing support, not a one-and-done workshop; visible results for parent community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"Strong Beginnings and Restorative Discipline give your staff tools they'll actually use — and we're there for the coaching afterward."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 volume (1 per school) — site-level gatekeeper; drives staff adoption and contract renewal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MTSS / Wellness Coordinator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School Counselor, School Psychologist, MTSS Coordinator, Mental Health Lead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Evidence-based Tier I/II supports; reduce crisis-level referrals coming to them; build teacher capacity for dysregulation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400+ caseloads; teachers send every dysregulated student directly to counselor; no universal prevention layer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MTSS restructure; wellness room budget available; outcome data showing referral spike to counselors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Research-grounded framework they can champion to administration; tools teachers will actually trust and use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"We build the Tier I system that takes the crisis volume off your plate — and gives teachers what they need to co-regulate before students reach your door."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Medium volume — evidence-based champion; often initiates the RFP or brings ThriveWell to the Director's attention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Classroom Teacher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K-12 Classroom Teacher (training end-user)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Primary goal</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Manage student behavior without constant referrals; get through the school year without burning out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Core pain</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53% burnout rate (RAND 2025); vicarious trauma from students with ACEs; insufficient administrative support for dysregulated students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What triggers a conversation</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PD day mandated by district; new school year; personal crisis with a student behavior incident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What they want from a vendor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Tools they can use immediately; practical de-escalation skills, not abstract theory; to feel supported, not judged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ThriveWell's message</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de-escalation tools, circle techniques, and brain-based framework we teach are things you can use Monday morning — and we follow up to help you make them stick."</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Volume / Strategic Impact</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Highest volume (20–40 per school) — NPS and adoption driver; teacher buy-in determines whether training produces lasting culture change</w:t>
            </w:r>
          </w:p>
        </w:tc>
      </w:tr>
    </w:tbl>
    <w:p>
      <w:pPr>
        <w:pStyle w:val="Heading1"/>
        <w:keepNext/>
        <w:pageBreakBefore/>
        <w:spacing w:after="120" w:before="0" w:line="240"/>
      </w:pPr>
      <w:r>
        <w:rPr>
          <w:rFonts w:ascii="Open Sans" w:cs="Open Sans" w:eastAsia="Open Sans" w:hAnsi="Open Sans"/>
          <w:color w:val="FFFFFF"/>
          <w:sz w:val="2"/>
          <w:szCs w:val="2"/>
        </w:rPr>
        <w:t xml:space="preserve">07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07  Competitive Landscape</w:t>
            </w:r>
          </w:p>
        </w:tc>
      </w:tr>
    </w:tbl>
    <w:p>
      <w:pPr>
        <w:spacing w:after="0" w:before="100"/>
      </w:pPr>
      <w:r>
        <w:t xml:space="preserve"/>
      </w:r>
    </w:p>
    <w:p>
      <w:pPr>
        <w:spacing w:after="80" w:before="120"/>
        <w:jc w:val="center"/>
      </w:pPr>
      <w:r>
        <w:drawing>
          <wp:inline distT="0" distB="0" distL="0" distR="0">
            <wp:extent cx="5715000" cy="3209925"/>
            <wp:effectExtent t="0" r="0" b="0" l="0"/>
            <wp:docPr id="1" name="Competitive Landscape 2x2" descr="Competitive Landscape 2x2" title="Competitive Landscape 2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2 — ThriveWell's uncontested position: Trauma-Informed Depth + Implementation Coaching</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Focus</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ThriveWell Wins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Panorama Education</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 assessment &amp; data analytics platform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Panorama measures school climate — it does not change it. ThriveWell changes the culture. Districts need both; Panorama is a complement, not a competitor.</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Care Solace</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Mental health provider navigation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Connects families to therapists. Not professional development. Entirely different function — no head-to-head competition.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Hazel Health</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School-based telehealth therapy</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Clinical service, not staff training. Districts need Hazel for high-acuity students and ThriveWell for universal Tier I prevention.</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Conscious Discipline</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Brain-based discipline / SEL curriculum</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SAMHSA evidence-based, adult-first approach — packaged curriculum without customized district implementation or the restorative justice / prison pipeline lens.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 Mindsets</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Character development SEL curriculum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Off-the-shelf online curriculum. No trauma-informed coaching, no implementation support, no restorative justice depth.</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Responsive Classroom</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25-year SEL approach</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 classroom management and SEL — respected but generic. No criminal justice research lens, no school-to-prison pipeline prevention framing.</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Second Step</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Emotion recognition SEL curriculum</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Widely adopted K-12 curriculum — commodity. Districts looking for cultural transformation, not another curriculum package, choose ThriveWell.</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ThriveWell's Uncontested Position</w:t>
            </w:r>
          </w:p>
          <w:p>
            <w:pPr>
              <w:keepNext w:val="false"/>
              <w:keepLines/>
              <w:spacing w:after="60" w:before="40" w:line="300"/>
            </w:pPr>
            <w:r>
              <w:rPr>
                <w:rFonts w:ascii="Open Sans" w:cs="Open Sans" w:eastAsia="Open Sans" w:hAnsi="Open Sans"/>
                <w:color w:val="59595B"/>
                <w:sz w:val="20"/>
                <w:szCs w:val="20"/>
              </w:rPr>
              <w:t xml:space="preserve">No competitor holds the combination of: (1) restorative justice AND trauma-informed practice AND school-to-prison pipeline prevention, (2) delivered through a PhD-credentialed practitioner who stays for coaching and technical assistance, (3) with a documented 70% referral reduction outcome. This is not a crowded market. This is an open field for the right partner to dominate.</w:t>
            </w:r>
          </w:p>
        </w:tc>
      </w:tr>
    </w:tbl>
    <w:p>
      <w:pPr>
        <w:pStyle w:val="Heading1"/>
        <w:keepNext/>
        <w:pageBreakBefore/>
        <w:spacing w:after="120" w:before="0" w:line="240"/>
      </w:pPr>
      <w:r>
        <w:rPr>
          <w:rFonts w:ascii="Open Sans" w:cs="Open Sans" w:eastAsia="Open Sans" w:hAnsi="Open Sans"/>
          <w:color w:val="FFFFFF"/>
          <w:sz w:val="2"/>
          <w:szCs w:val="2"/>
        </w:rPr>
        <w:t xml:space="preserve">08  Brand &amp; Digital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Brand &amp; Digital Audit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Channel</w:t>
            </w:r>
          </w:p>
        </w:tc>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Priority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Website (thrivewellschools.com)</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Professional and clear — "Schedule a Free Consultation" CTA is strong. Missing: outcome data prominently displayed, case studies, online training options, and a resource library that demonstrates Jennifer's research depth.</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SEO / Organic Search</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 visibility. No active content marketing pipeline. Districts searching "trauma-informed professional development California" likely do not find ThriveWell on page one.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(Google SGE, Perplexity)</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Not optimized for AI-generated answers. When district administrators ask AI assistants for restorative discipline consultants, ThriveWell does not appear.</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(Jennifer personal)</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464+ connections — good foundation but underutilized for thought leadership. Jennifer's publication and case study outcomes should be driving regular content.</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Instagram (@thrivewell_schools)</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Active — good for brand awareness among educators. Limited for B2B district decision-maker audience.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Substack (@thrivewellwithdrjenn)</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Exists — underutilized. Jennifer's writing voice and research credibility are assets that deserve a larger audience.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Medium</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 Studies / Outcome Data</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70% referral reduction at a CA middle school is ThriveWell's most powerful marketing asset — and it is not prominently visible on the website, in search results, or in thought leadership content.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Training Capability</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documented online or virtual delivery option. All programs appear to require Jennifer's in-person presence — a geographic and capacity constraint that limits scale.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C0392B"/>
                <w:sz w:val="20"/>
                <w:szCs w:val="20"/>
              </w:rPr>
              <w:t xml:space="preserve">HIGH</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Digital Gap</w:t>
            </w:r>
          </w:p>
          <w:p>
            <w:pPr>
              <w:keepNext/>
              <w:keepLines/>
              <w:spacing w:after="60" w:before="40" w:line="300"/>
            </w:pPr>
            <w:r>
              <w:rPr>
                <w:rFonts w:ascii="Open Sans" w:cs="Open Sans" w:eastAsia="Open Sans" w:hAnsi="Open Sans"/>
                <w:color w:val="59595B"/>
                <w:sz w:val="20"/>
                <w:szCs w:val="20"/>
              </w:rPr>
              <w:t xml:space="preserve">ThriveWell's competitors — Panorama, Hazel Health, Care Solace — invest heavily in SEO, content marketing, and digital lead generation. They show up when district leaders search. ThriveWell currently does not.</w:t>
            </w:r>
          </w:p>
          <w:p>
            <w:pPr>
              <w:keepNext w:val="false"/>
              <w:keepLines/>
              <w:spacing w:after="60" w:before="40" w:line="300"/>
            </w:pPr>
            <w:r>
              <w:rPr>
                <w:rFonts w:ascii="Open Sans" w:cs="Open Sans" w:eastAsia="Open Sans" w:hAnsi="Open Sans"/>
                <w:color w:val="59595B"/>
                <w:sz w:val="20"/>
                <w:szCs w:val="20"/>
              </w:rPr>
              <w:t xml:space="preserve">This is not a brand weakness — it is an infrastructure gap. Jennifer's credentials, outcomes, and approach are highly differentiated. The work is to build the digital presence that carries those differentiators into the conversations that matter.</w:t>
            </w:r>
          </w:p>
        </w:tc>
      </w:tr>
    </w:tbl>
    <w:p>
      <w:pPr>
        <w:spacing w:after="0" w:before="20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 district administrator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"Who provides trauma-informed, restorative-discipline professional development for California school districts?"</w:t>
            </w:r>
          </w:p>
          <w:p>
            <w:pPr>
              <w:keepNext/>
              <w:keepLines/>
              <w:spacing w:after="60" w:before="40" w:line="300"/>
            </w:pPr>
            <w:r>
              <w:rPr>
                <w:rFonts w:ascii="Open Sans" w:cs="Open Sans" w:eastAsia="Open Sans" w:hAnsi="Open Sans"/>
                <w:color w:val="59595B"/>
                <w:sz w:val="20"/>
                <w:szCs w:val="20"/>
              </w:rPr>
              <w:t xml:space="preserve">TODAY — the AI assistant answers with whichever providers have the strongest content and third-party signals it can read: it names a few SEL curriculum vendors and assessment platforms, and does NOT mention ThriveWell or Dr. Lynn-Whaley — even though ThriveWell has the deepest restorative-justice and school-to-prison-pipeline lens and a documented 70% referral-reduction outcome. ThriveWell is invisible at the exact moment a district is forming its shortlist.</w:t>
            </w:r>
          </w:p>
          <w:p>
            <w:pPr>
              <w:keepNext w:val="false"/>
              <w:keepLines/>
              <w:spacing w:after="60" w:before="40" w:line="300"/>
            </w:pPr>
            <w:r>
              <w:rPr>
                <w:rFonts w:ascii="Open Sans" w:cs="Open Sans" w:eastAsia="Open Sans" w:hAnsi="Open Sans"/>
                <w:color w:val="59595B"/>
                <w:sz w:val="20"/>
                <w:szCs w:val="20"/>
              </w:rPr>
              <w:t xml:space="preserve">AFTER AI Search Optimization — the same query returns ThriveWell as a cited option ("ThriveWell Schools, led by Dr. Jennifer Lynn-Whaley, PhD, delivers trauma-informed and restorative-discipline implementation coaching with a documented referral-reduction outcome…"), with the case study and resource library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a baseline at the start of the engagement.)</w:t>
      </w:r>
    </w:p>
    <w:p>
      <w:pPr>
        <w:pStyle w:val="Heading1"/>
        <w:keepNext/>
        <w:pageBreakBefore/>
        <w:spacing w:after="120" w:before="0" w:line="240"/>
      </w:pPr>
      <w:r>
        <w:rPr>
          <w:rFonts w:ascii="Open Sans" w:cs="Open Sans" w:eastAsia="Open Sans" w:hAnsi="Open Sans"/>
          <w:color w:val="FFFFFF"/>
          <w:sz w:val="2"/>
          <w:szCs w:val="2"/>
        </w:rPr>
        <w:t xml:space="preserve">09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Technijian's work with professional services firms and consulting organizations provides direct proof of the capabilities ThriveWell needs. The following builds illustrate what Technijian has delivered — and how each applies.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Multi-Agency SEO + Authority Content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SEO content pipelines and authority content programs for professional services firms in regulated industries — including California state-regulated sectors — driving first-page rankings for competitive, long-tail searches in less than 90 days.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Trauma-informed professional development is a specific, searchable need. District administrators Google it. Jennifer's credentials and outcome data make ThriveWell the strongest possible organic ranking candidate — once the content infrastructure exists to carry that credibility into search results.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Account Intelligence &amp; Named-Account Monitoring</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Deployed AI-driven account intelligence systems that monitor named-account trigger events — leadership transitions, regulatory filings, budget announcements, public board actions — and surface them as outreach opportunities. Used by clients in government-adjacent professional services sectors.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California school district trigger events are public information: CA Dashboard publications, grant announcements, ACSA conference speaker lists, board meeting minutes, EdSource coverage. Technijian's AI monitors these continuously and surfaces the 5–10 highest-priority district conversations each week for Jennifer to act 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Grant Application AI &amp; Funding Identification System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Built AI-assisted grant writing and funding identification tools for nonprofit and public-sector clients — scanning federal and state grant databases, matching program descriptions to eligibility criteria, and auto-drafting narrative sections aligned to grant language.</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California's $8B funding landscape is navigable, but complex. Technijian's grant AI identifies open Title IV, CYBHI, CCSPP, and SEL continuation grants relevant to ThriveWell's programs, drafts application narratives from Jennifer's existing program descriptions, and helps districts understand how to fund ThriveWell engagements with existing wellness allocations.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Online Learning Platform &amp; Outcome Dashboard</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Designed and built custom learning management systems and outcome measurement dashboards for training and professional development organizations — including live-virtual delivery, asynchronous content libraries, participant tracking, and real-time reporting for organizational clients.</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ThriveWell's in-person delivery model is Jennifer's current ceiling. An online training platform — built to ThriveWell's methodology, with Jennifer's recorded content, live virtual coaching sessions, and participant progress tracking — multiplies delivery capacity without multiplying travel. A school climate dashboard gives district leaders the data they need to justify contract renewal and expansion.</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Thought Leadership &amp; Research Amplification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Transformed existing research publications, case studies, and practitioner frameworks into multi-channel content programs — LinkedIn authority series, Substack newsletters, speaking pitch decks, and media placement — for professional services clients with strong IP but limited digital distribution.</w:t>
            </w:r>
          </w:p>
          <w:p>
            <w:pPr>
              <w:spacing w:after="60"/>
            </w:pPr>
            <w:r>
              <w:rPr>
                <w:rFonts w:ascii="Open Sans" w:cs="Open Sans" w:eastAsia="Open Sans" w:hAnsi="Open Sans"/>
                <w:b/>
                <w:bCs/>
                <w:color w:val="F67D4B"/>
                <w:sz w:val="20"/>
                <w:szCs w:val="20"/>
              </w:rPr>
              <w:t xml:space="preserve">How This Applies to ThriveWell Schools: </w:t>
            </w:r>
            <w:r>
              <w:rPr>
                <w:rFonts w:ascii="Open Sans" w:cs="Open Sans" w:eastAsia="Open Sans" w:hAnsi="Open Sans"/>
                <w:color w:val="59595B"/>
                <w:sz w:val="20"/>
                <w:szCs w:val="20"/>
              </w:rPr>
              <w:t xml:space="preserve">Jennifer's "Neuroscience Behind Misbehavior" publication and the Antioch-area middle school case study are conversion-grade content waiting to be amplified. Technijian builds the content system that turns Jennifer's research credibility into inbound district conversations.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account intelligence, and grant support: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research-credible claims,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content, outreach personalization, grant-narrative drafts,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district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ThriveWell pays premium-model prices only for the small slice of work that warrants them — typically a 60–80% lower run cost than routing everything to one top-tier model, with no quality loss where it counts. For example, a single piece of authority content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10  Understanding AI — A Field Guide for ThriveWell Schools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10  Understanding AI — A Field Guide for ThriveWell Schools Leadership</w:t>
            </w:r>
          </w:p>
        </w:tc>
      </w:tr>
    </w:tbl>
    <w:p>
      <w:pPr>
        <w:spacing w:after="0" w:before="14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ThriveWell sits today, how to adopt it without risk, and what comparable organizations are already doing. The goal is that Jennifer and the ThriveWell team can judge every recommendation that follows on its merits.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a grant-narrative section from this program description."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the district funding and leadership signals and flag what needs attention."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ThriveWell starts with simple automations that pay off in the first 90 days, and adds autonomous agents only where the value is proven — which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ThriveWell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founder-led professional services firms — including ThriveWell — sit at the first or second rung of the widely-used five-stage AI maturity model (consistent with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rPr>
          <w:cantSplit/>
          <w:tblHeader/>
        </w:trPr>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2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ThriveWell Today</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AI used informally for occasional content or research, but not yet woven into how the practice grows or delivers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SEO content, account intelligence, grant support — with measured results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2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delivery with governance and dashboards</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2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practice runs and competes</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ThriveWell is at the Emerging stage — using AI informally but not yet as growth infrastructure. This report is the plan to reach Operational — AI working in the growth engine and behind delivery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an organization that works inside schools and with student-adjacent data like ThriveWell,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district-facing or grant-bound — AI drafts, Jennifer approves</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 data pasted into public tools can escape</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governed AI deployments — district records, outcome data, and student-behavior data never touch a public model</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 FERPA-aware,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Organizations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Education consulting: professional development providers are using AI search optimization to become the cited answer when district leaders ask AI tools "who does trauma-informed PD in California?"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Grant-funded services: organizations that depend on public funding are using AI to identify open grants and draft application narratives, responding to more opportunities with the same small team.</w:t>
      </w:r>
    </w:p>
    <w:p>
      <w:pPr>
        <w:pStyle w:val="ListParagraph"/>
        <w:numPr>
          <w:ilvl w:val="0"/>
          <w:numId w:val="2"/>
        </w:numPr>
        <w:spacing w:after="80" w:before="40" w:line="300"/>
      </w:pPr>
      <w:r>
        <w:rPr>
          <w:rFonts w:ascii="Open Sans" w:cs="Open Sans" w:eastAsia="Open Sans" w:hAnsi="Open Sans"/>
          <w:color w:val="59595B"/>
          <w:sz w:val="22"/>
          <w:szCs w:val="22"/>
        </w:rPr>
        <w:t xml:space="preserve">Founder-led practices: solo and small expert consultancies are packaging their methodology into online and on-demand formats so delivery is no longer capped by one person's calendar.</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organizations, not guarantees; ThriveWell's own numbers would be confirmed in discovery. Technijian's specific results from prior builds appear in Section 9 (Capability Proof).</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 ThriveWell District-Outreach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Jennifer hears about a district's new wellness funding by chance — a referral, a conference hallway, an email forward. She drafts each outreach note from scratch, researches the district's situation by hand, and chases grant deadlines from memory — all between delivering the actual coaching that pays the bills.</w:t>
            </w:r>
          </w:p>
          <w:p>
            <w:pPr>
              <w:keepNext w:val="false"/>
              <w:keepLines/>
              <w:spacing w:after="60" w:before="40" w:line="300"/>
            </w:pPr>
            <w:r>
              <w:rPr>
                <w:rFonts w:ascii="Open Sans" w:cs="Open Sans" w:eastAsia="Open Sans" w:hAnsi="Open Sans"/>
                <w:color w:val="59595B"/>
                <w:sz w:val="20"/>
                <w:szCs w:val="20"/>
              </w:rPr>
              <w:t xml:space="preserve">WITH AI: A monitoring system surfaces the handful of California districts that just won CYBHI/CCSPP funding or changed superintendents this week; an AI assistant drafts a tailored note referencing that district's specific situation and the matching ThriveWell program; Jennifer reviews and sends. The same system flags grant deadlines and drafts narrative sections — so outreach happens consistently instead of only when she has a spare hour.</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ThriveWell assembles, secures, and governs everything — and owns the three risks above alone, on top of delivering client work</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AI/marketing leader typically costs $120K+/year and is scarce, and one person cannot cover strategy, build, security, and governance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at a fraction of a hire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11  The ThriveWell AI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11  The ThriveWell AI Growth Engine</w:t>
            </w:r>
          </w:p>
        </w:tc>
      </w:tr>
    </w:tbl>
    <w:p>
      <w:pPr>
        <w:spacing w:after="0" w:before="100"/>
      </w:pPr>
      <w:r>
        <w:t xml:space="preserve"/>
      </w:r>
    </w:p>
    <w:p>
      <w:pPr>
        <w:spacing w:after="80" w:before="120"/>
        <w:jc w:val="center"/>
      </w:pPr>
      <w:r>
        <w:drawing>
          <wp:inline distT="0" distB="0" distL="0" distR="0">
            <wp:extent cx="5715000" cy="3209925"/>
            <wp:effectExtent t="0" r="0" b="0" l="0"/>
            <wp:docPr id="1" name="ThriveWell AI Growth Architecture" descr="ThriveWell AI Growth Architecture" title="ThriveWell AI Growt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 — Three-motion AI growth engine: Get Found, Win Districts, Scale &amp; Serve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Motion 1: Get Found</w:t>
      </w:r>
    </w:p>
    <w:p>
      <w:pPr>
        <w:spacing w:after="140" w:before="0" w:line="320"/>
        <w:jc w:val="both"/>
      </w:pPr>
      <w:r>
        <w:rPr>
          <w:rFonts w:ascii="Open Sans" w:cs="Open Sans" w:eastAsia="Open Sans" w:hAnsi="Open Sans"/>
          <w:b w:val="false"/>
          <w:bCs w:val="false"/>
          <w:i w:val="false"/>
          <w:iCs w:val="false"/>
          <w:color w:val="59595B"/>
          <w:sz w:val="22"/>
          <w:szCs w:val="22"/>
        </w:rPr>
        <w:t xml:space="preserve">District administrators are actively searching for trauma-informed professional development, restorative discipline consultants, and school wellness programs. ThriveWell needs to show up when they search — in Google, in AI-generated answers, and in the professional networks where district leaders learn about vendors.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Education Authority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Rank page-one for "trauma-informed professional development California," "restorative discipline consultant K-12," "school-to-prison pipeline prevention programs," "wellness rooms schools." Monthly content drives compounding organic visibility.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Search Optimization (AEO)</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Optimize for Google SGE, Perplexity, and district AI assistants. When a superintendent asks "who does restorative discipline PD in California?" — ThriveWell appears in the generated answer.</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Thought Leadership Amplification</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Repurpose Jennifer's "Neuroscience Behind Misbehavior" paper into a 4-part LinkedIn series. Build a Substack content calendar. Submit speaking proposals to ACSA, CDE, and WestEd conferences.</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Motion 2: Win Districts</w:t>
      </w:r>
    </w:p>
    <w:p>
      <w:pPr>
        <w:spacing w:after="140" w:before="0" w:line="320"/>
        <w:jc w:val="both"/>
      </w:pPr>
      <w:r>
        <w:rPr>
          <w:rFonts w:ascii="Open Sans" w:cs="Open Sans" w:eastAsia="Open Sans" w:hAnsi="Open Sans"/>
          <w:b w:val="false"/>
          <w:bCs w:val="false"/>
          <w:i w:val="false"/>
          <w:iCs w:val="false"/>
          <w:color w:val="59595B"/>
          <w:sz w:val="22"/>
          <w:szCs w:val="22"/>
        </w:rPr>
        <w:t xml:space="preserve">Getting found brings inbound conversations. Winning districts requires outbound intelligence — knowing which 10 districts at any given moment have the funding, the urgency, and the leadership readiness to move. AI turns public data into a prioritized outreach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District Intelligence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Monitor named-account triggers: CYBHI/CCSPP grants awarded, superintendent transitions, CA Dashboard red flags, EdSource news coverage, ACSA conference attendance. Surface the top 10 district conversations each week.</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Application AI</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Identify open Title IV, CYBHI, SEL continuation grants. Auto-draft application narratives from Jennifer's program descriptions. Help districts use existing wellness allocations to fund ThriveWell engagements.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Documentation System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Systematically collect referral rates, attendance data, and staff survey scores from every engagement. Build the evidence base that wins the next district — and justifies contract renewal at current ones.</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Motion 3: Scale &amp; Serve</w:t>
      </w:r>
    </w:p>
    <w:p>
      <w:pPr>
        <w:spacing w:after="140" w:before="0" w:line="320"/>
        <w:jc w:val="both"/>
      </w:pPr>
      <w:r>
        <w:rPr>
          <w:rFonts w:ascii="Open Sans" w:cs="Open Sans" w:eastAsia="Open Sans" w:hAnsi="Open Sans"/>
          <w:b w:val="false"/>
          <w:bCs w:val="false"/>
          <w:i w:val="false"/>
          <w:iCs w:val="false"/>
          <w:color w:val="59595B"/>
          <w:sz w:val="22"/>
          <w:szCs w:val="22"/>
        </w:rPr>
        <w:t xml:space="preserve">Jennifer's in-person model is ThriveWell's current ceiling. Online delivery and outcome dashboards break the geographic and capacity constraints — allowing ThriveWell to serve 3–5× more districts without 3–5× more travel.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240"/>
            <w:tcBorders>
              <w:top w:val="single" w:color="E9ECEF" w:sz="4"/>
              <w:left w:val="single" w:color="E9ECEF" w:sz="4"/>
              <w:bottom w:val="single" w:color="E9ECEF" w:sz="4"/>
              <w:right w:val="single" w:color="E9ECEF" w:sz="4"/>
            </w:tcBorders>
            <w:shd w:fill="F67D4B"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 for ThriveWell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Online Platform</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Deliver Strong Beginnings, Trauma Foundations, and Staff Resilience as on-demand or live-virtual programs. Serve districts statewide — and eventually nationally — without Jennifer traveling.</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 Climate Analytics Dashboard</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Real-time dashboard for district leaders: referral trends, wellness room utilization, staff survey scores, ADA correlation. Data that renews contracts and expands to additional school sites.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Quarterly AI growth roadmap: which platforms to build next, which grants to pursue, how to package Jennifer's IP into a certifiable professional development track.</w:t>
            </w:r>
          </w:p>
        </w:tc>
      </w:tr>
    </w:tbl>
    <w:p>
      <w:pPr>
        <w:pStyle w:val="Heading1"/>
        <w:keepNext/>
        <w:pageBreakBefore/>
        <w:spacing w:after="120" w:before="0" w:line="240"/>
      </w:pPr>
      <w:r>
        <w:rPr>
          <w:rFonts w:ascii="Open Sans" w:cs="Open Sans" w:eastAsia="Open Sans" w:hAnsi="Open Sans"/>
          <w:color w:val="FFFFFF"/>
          <w:sz w:val="2"/>
          <w:szCs w:val="2"/>
        </w:rPr>
        <w:t xml:space="preserve">12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Business Impact &amp; Service Investment</w:t>
            </w:r>
          </w:p>
        </w:tc>
      </w:tr>
    </w:tbl>
    <w:p>
      <w:pPr>
        <w:spacing w:after="0" w:before="1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the ROI Model Works</w:t>
      </w:r>
    </w:p>
    <w:p>
      <w:pPr>
        <w:spacing w:after="140" w:before="0" w:line="320"/>
        <w:jc w:val="both"/>
      </w:pPr>
      <w:r>
        <w:rPr>
          <w:rFonts w:ascii="Open Sans" w:cs="Open Sans" w:eastAsia="Open Sans" w:hAnsi="Open Sans"/>
          <w:b w:val="false"/>
          <w:bCs w:val="false"/>
          <w:i w:val="false"/>
          <w:iCs w:val="false"/>
          <w:color w:val="59595B"/>
          <w:sz w:val="22"/>
          <w:szCs w:val="22"/>
        </w:rPr>
        <w:t xml:space="preserve">ThriveWell's growth is measured by new district training and coaching contracts. Each district engagement is a multi-year relationship: an initial training contract, followed by ongoing coaching and technical support, and expansion to additional school sites. The investment figures below use Technijian's published service rates. District contract values are illustrative — Jennifer knows her own pricing; Technijian does not.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AI as a Managed Investment — Not a Leap of Faith</w:t>
            </w:r>
          </w:p>
          <w:p>
            <w:pPr>
              <w:keepNext/>
              <w:keepLines/>
              <w:spacing w:after="60" w:before="40" w:line="300"/>
            </w:pPr>
            <w:r>
              <w:rPr>
                <w:rFonts w:ascii="Open Sans" w:cs="Open Sans" w:eastAsia="Open Sans" w:hAnsi="Open Sans"/>
                <w:color w:val="59595B"/>
                <w:sz w:val="20"/>
                <w:szCs w:val="20"/>
              </w:rPr>
              <w:t xml:space="preserve">The reason most AI spending disappoints is rarely the technology — it is the lack of measurement. Surveys of business adopters consistently find that a majority of organizations now use AI in some form, but only a minority report a clear financial impact; the difference is discipline, not budget.</w:t>
            </w:r>
          </w:p>
          <w:p>
            <w:pPr>
              <w:keepNext w:val="false"/>
              <w:keepLines/>
              <w:spacing w:after="60" w:before="40" w:line="300"/>
            </w:pPr>
            <w:r>
              <w:rPr>
                <w:rFonts w:ascii="Open Sans" w:cs="Open Sans" w:eastAsia="Open Sans" w:hAnsi="Open Sans"/>
                <w:color w:val="59595B"/>
                <w:sz w:val="20"/>
                <w:szCs w:val="20"/>
              </w:rPr>
              <w:t xml:space="preserve">Technijian runs every engagement with stage-gates: we track adoption, then operational improvement, then financial benefit against total cost — and if a pilot does not clear its cost at the gate, we stop and re-scope. ThriveWell carries the upside, not blind risk.</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C0392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C0392B"/>
                <w:sz w:val="22"/>
                <w:szCs w:val="22"/>
              </w:rPr>
              <w:t xml:space="preserve">The Cost of Waiting</w:t>
            </w:r>
          </w:p>
          <w:p>
            <w:pPr>
              <w:keepNext/>
              <w:keepLines/>
              <w:spacing w:after="60" w:before="40" w:line="300"/>
            </w:pPr>
            <w:r>
              <w:rPr>
                <w:rFonts w:ascii="Open Sans" w:cs="Open Sans" w:eastAsia="Open Sans" w:hAnsi="Open Sans"/>
                <w:color w:val="59595B"/>
                <w:sz w:val="20"/>
                <w:szCs w:val="20"/>
              </w:rPr>
              <w:t xml:space="preserve">AI-search visibility compounds, and it rewards whoever optimizes first. Every quarter ThriveWell is not cited, the assistants learn to answer "trauma-informed PD in California" with someone else — and that default, once set, is harder and more expensive to dislodge than to claim now.</w:t>
            </w:r>
          </w:p>
          <w:p>
            <w:pPr>
              <w:keepNext w:val="false"/>
              <w:keepLines/>
              <w:spacing w:after="60" w:before="40" w:line="300"/>
            </w:pPr>
            <w:r>
              <w:rPr>
                <w:rFonts w:ascii="Open Sans" w:cs="Open Sans" w:eastAsia="Open Sans" w:hAnsi="Open Sans"/>
                <w:color w:val="59595B"/>
                <w:sz w:val="20"/>
                <w:szCs w:val="20"/>
              </w:rPr>
              <w:t xml:space="preserve">California's funding window is the same shape. The CYBHI/CCSPP dollars are being allocated now; the districts that find a credible partner first will spend them first. The cost of waiting is not zero — it is a competitor becoming the default answer, and a funding cycle spent elsewhere.</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The Entry Offer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fixed-price program — not an open-ended engagement. The pilot stands up ThriveWell's AI-search and organic visibility, sharpens the AI growth strategy in a working session, and proves the lift before any larger build is discussed.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3120"/>
        <w:gridCol w:w="2080"/>
      </w:tblGrid>
      <w:tr>
        <w:trPr>
          <w:cantSplit/>
          <w:tblHeader/>
        </w:trPr>
        <w:tc>
          <w:tcPr>
            <w:tcW w:type="dxa" w:w="416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12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Structure</w:t>
            </w:r>
          </w:p>
        </w:tc>
        <w:tc>
          <w:tcPr>
            <w:tcW w:type="dxa" w:w="2080"/>
            <w:tcBorders>
              <w:top w:val="single" w:color="E9ECEF" w:sz="4"/>
              <w:left w:val="single" w:color="E9ECEF" w:sz="4"/>
              <w:bottom w:val="single" w:color="E9ECEF" w:sz="4"/>
              <w:right w:val="single" w:color="E9ECEF" w:sz="4"/>
            </w:tcBorders>
            <w:shd w:fill="1EAAC8"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SEO — Education Authority (Tier 2)</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Executive Workshop</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One-time</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$5,000</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Starter</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 Entry Phase</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$34,988</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ThriveWell ranks on page one for at least one high-intent query (such as "trauma-informed professional development California") AND is cited by at least one major AI assistant (Google SGE, Perplexity, or ChatGPT) for a restorative-discipline / trauma-informed PD query.</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after the initial term — no long lock-in, no obligation to continue if it does not hit the metric by day 90. If the pilot has not moved the needle by then,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Full Growth Engine — Phase 2 (Y1+)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3120"/>
        <w:gridCol w:w="2080"/>
      </w:tblGrid>
      <w:tr>
        <w:trPr>
          <w:cantSplit/>
          <w:tblHeader/>
        </w:trPr>
        <w:tc>
          <w:tcPr>
            <w:tcW w:type="dxa" w:w="41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Structure</w:t>
            </w:r>
          </w:p>
        </w:tc>
        <w:tc>
          <w:tcPr>
            <w:tcW w:type="dxa" w:w="20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Y1 Investment</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Education Authority (from Phase 1)</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$17,988</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Lead Gen — District Intelligence (Pro)</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$3,499/mo</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$41,988</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AI Fractional Advisor — Pro (upgrade)</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$24,000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ThriveWell Platform Build</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w:t>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$42,000</w:t>
            </w:r>
          </w:p>
        </w:tc>
      </w:tr>
      <w:tr>
        <w:trPr>
          <w:cantSplit/>
        </w:trPr>
        <w:tc>
          <w:tcPr>
            <w:tcW w:type="dxa" w:w="4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My Dev — Managed App Services</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$800/mo</w:t>
            </w:r>
          </w:p>
        </w:tc>
        <w:tc>
          <w:tcPr>
            <w:tcW w:type="dxa" w:w="20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$9,600</w:t>
            </w:r>
          </w:p>
        </w:tc>
      </w:tr>
      <w:tr>
        <w:trPr>
          <w:cantSplit/>
        </w:trPr>
        <w:tc>
          <w:tcPr>
            <w:tcW w:type="dxa" w:w="4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 Full Engine Y1</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w:r>
          </w:p>
        </w:tc>
        <w:tc>
          <w:tcPr>
            <w:tcW w:type="dxa" w:w="20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$135,576</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ROI Scenarios</w:t>
      </w:r>
    </w:p>
    <w:p>
      <w:pPr>
        <w:spacing w:after="140" w:before="0" w:line="320"/>
        <w:jc w:val="both"/>
      </w:pPr>
      <w:r>
        <w:rPr>
          <w:rFonts w:ascii="Open Sans" w:cs="Open Sans" w:eastAsia="Open Sans" w:hAnsi="Open Sans"/>
          <w:b w:val="false"/>
          <w:bCs w:val="false"/>
          <w:i w:val="false"/>
          <w:iCs w:val="false"/>
          <w:color w:val="59595B"/>
          <w:sz w:val="22"/>
          <w:szCs w:val="22"/>
        </w:rPr>
        <w:t xml:space="preserve">The ROI model is built on new district training and coaching contracts secured as a result of Technijian's growth infrastructure. District contract values are placeholder figures — "TO CONFIRM with Jennifer" based on actual ThriveWell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Scenario</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New Contracts Won</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Revenue Added (est.)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c>
          <w:tcPr>
            <w:tcW w:type="dxa" w:w="18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Multiple</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Conservative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new district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1.7×</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Expected</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2–3 new districts</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$120–$180K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3.4×–5.1×</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Entry — Upside</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districts</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$34,988</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8.5×+</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Conservative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districts + platform revenue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w:t>
            </w:r>
          </w:p>
        </w:tc>
      </w:tr>
      <w:tr>
        <w:trPr>
          <w:cantSplit/>
        </w:trPr>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Expected</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6–8 districts + platform</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$360–$480K (est.)</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2.7×–3.5×</w:t>
            </w:r>
          </w:p>
        </w:tc>
      </w:tr>
      <w:tr>
        <w:trPr>
          <w:cantSplit/>
        </w:trPr>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Full Engine — Upside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districts + online revenue</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$720K+ (est.)</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$135,576</w:t>
            </w:r>
          </w:p>
        </w:tc>
        <w:tc>
          <w:tcPr>
            <w:tcW w:type="dxa" w:w="18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5.3×+</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Entry Case Makes Itself</w:t>
            </w:r>
          </w:p>
          <w:p>
            <w:pPr>
              <w:keepNext/>
              <w:keepLines/>
              <w:spacing w:after="60" w:before="40" w:line="300"/>
            </w:pPr>
            <w:r>
              <w:rPr>
                <w:rFonts w:ascii="Open Sans" w:cs="Open Sans" w:eastAsia="Open Sans" w:hAnsi="Open Sans"/>
                <w:color w:val="59595B"/>
                <w:sz w:val="20"/>
                <w:szCs w:val="20"/>
              </w:rPr>
              <w:t xml:space="preserve">At $34,988 for Year 1, a single new district engagement — at whatever ThriveWell charges for a full-year training and coaching contract — recovers the investment.</w:t>
            </w:r>
          </w:p>
          <w:p>
            <w:pPr>
              <w:keepNext/>
              <w:keepLines/>
              <w:spacing w:after="60" w:before="40" w:line="300"/>
            </w:pPr>
            <w:r>
              <w:rPr>
                <w:rFonts w:ascii="Open Sans" w:cs="Open Sans" w:eastAsia="Open Sans" w:hAnsi="Open Sans"/>
                <w:color w:val="59595B"/>
                <w:sz w:val="20"/>
                <w:szCs w:val="20"/>
              </w:rPr>
              <w:t xml:space="preserve">The expected case is 2–3 new districts, which is a reasonable outcome from 12 months of SEO authority-building, AI-assisted account intelligence, and one executive workshop to sharpen Jennifer's AI growth strategy.</w:t>
            </w:r>
          </w:p>
          <w:p>
            <w:pPr>
              <w:keepNext w:val="false"/>
              <w:keepLines/>
              <w:spacing w:after="60" w:before="40" w:line="300"/>
            </w:pPr>
            <w:r>
              <w:rPr>
                <w:rFonts w:ascii="Open Sans" w:cs="Open Sans" w:eastAsia="Open Sans" w:hAnsi="Open Sans"/>
                <w:color w:val="59595B"/>
                <w:sz w:val="20"/>
                <w:szCs w:val="20"/>
              </w:rPr>
              <w:t xml:space="preserve">The upside case — 5+ new districts plus the beginning of an online revenue stream — is the 12-month target if ThriveWell executes all three motions in sequence.</w:t>
            </w:r>
          </w:p>
        </w:tc>
      </w:tr>
    </w:tbl>
    <w:p>
      <w:pPr>
        <w:pStyle w:val="Heading1"/>
        <w:keepNext/>
        <w:pageBreakBefore/>
        <w:spacing w:after="120" w:before="0" w:line="240"/>
      </w:pPr>
      <w:r>
        <w:rPr>
          <w:rFonts w:ascii="Open Sans" w:cs="Open Sans" w:eastAsia="Open Sans" w:hAnsi="Open Sans"/>
          <w:color w:val="FFFFFF"/>
          <w:sz w:val="2"/>
          <w:szCs w:val="2"/>
        </w:rPr>
        <w:t xml:space="preserve">13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13  Implementation Roadmap</w:t>
            </w:r>
          </w:p>
        </w:tc>
      </w:tr>
    </w:tbl>
    <w:p>
      <w:pPr>
        <w:spacing w:after="0" w:before="100"/>
      </w:pPr>
      <w:r>
        <w:t xml:space="preserve"/>
      </w:r>
    </w:p>
    <w:p>
      <w:pPr>
        <w:spacing w:after="80" w:before="120"/>
        <w:jc w:val="center"/>
      </w:pPr>
      <w:r>
        <w:drawing>
          <wp:inline distT="0" distB="0" distL="0" distR="0">
            <wp:extent cx="5715000" cy="3209925"/>
            <wp:effectExtent t="0" r="0" b="0" l="0"/>
            <wp:docPr id="1" name="ThriveWell 90/180/365 Roadmap" descr="ThriveWell 90/180/365 Roadmap" title="ThriveWell 90/180/365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4 — 90-Day Foundation, 180-Day Acceleration, 365-Day Scale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Phase</w:t>
            </w:r>
          </w:p>
        </w:tc>
        <w:tc>
          <w:tcPr>
            <w:tcW w:type="dxa" w:w="46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Owner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Days 1–90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 — map ThriveWell's AI growth opportunity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launch — keyword strategy, website optimization, content calendar</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Case study documentation — Antioch-area middle school outcome structured for web and content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1–90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LinkedIn authority content — repurpose "Neuroscience Behind Misbehavior" into 4-part series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(Jennifer reviews)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Days 91–180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launch — district account intelligence, weekly priority list</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Grant application AI — identify 5–10 open CA/federal grants; draft narratives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Outcome documentation system — build data collection cadence for active districts</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 Jennifer</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91–180</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Online pilot — deliver one program virtually to a distant district; test and refine</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ThriveWell Platform launch — on-demand and live-virtual program delivery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builds; Jennifer delivers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School Climate Analytics Dashboard — district-facing outcome measurement tool</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Statewide expansion — target 10–15 new districts via AI intelligence + SEO leads + conference pipeline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 Technijian</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181–365</w:t>
            </w:r>
          </w:p>
        </w:tc>
        <w:tc>
          <w:tcPr>
            <w:tcW w:type="dxa" w:w="46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Certification program design — package Jennifer's methodology as certifiable district coach track</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Jennifer (Technijian supports)</w:t>
            </w:r>
          </w:p>
        </w:tc>
      </w:tr>
    </w:tbl>
    <w:p>
      <w:pPr>
        <w:pStyle w:val="Heading1"/>
        <w:keepNext/>
        <w:pageBreakBefore/>
        <w:spacing w:after="120" w:before="0" w:line="240"/>
      </w:pPr>
      <w:r>
        <w:rPr>
          <w:rFonts w:ascii="Open Sans" w:cs="Open Sans" w:eastAsia="Open Sans" w:hAnsi="Open Sans"/>
          <w:color w:val="FFFFFF"/>
          <w:sz w:val="2"/>
          <w:szCs w:val="2"/>
        </w:rPr>
        <w:t xml:space="preserve">14  Quick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14  Quick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actions require no contract and no budget — Jennifer can begin them this week. Each one builds the foundation that paid infrastructure accelerates.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1 — Add the outcome data to the homepage</w:t>
            </w:r>
          </w:p>
          <w:p>
            <w:pPr>
              <w:keepNext w:val="false"/>
              <w:keepLines/>
              <w:spacing w:after="60" w:before="40" w:line="300"/>
            </w:pPr>
            <w:r>
              <w:rPr>
                <w:rFonts w:ascii="Open Sans" w:cs="Open Sans" w:eastAsia="Open Sans" w:hAnsi="Open Sans"/>
                <w:color w:val="59595B"/>
                <w:sz w:val="20"/>
                <w:szCs w:val="20"/>
              </w:rPr>
              <w:t xml:space="preserve">"A California middle school reduced behavioral referrals by 70% after district-wide implementation." This one sentence, prominent on the homepage, changes the conversion rate of every visitor. Currently invisible on thrivewellschools.com.</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Quick Win 2 — Publish the case study</w:t>
            </w:r>
          </w:p>
          <w:p>
            <w:pPr>
              <w:keepNext w:val="false"/>
              <w:keepLines/>
              <w:spacing w:after="60" w:before="40" w:line="300"/>
            </w:pPr>
            <w:r>
              <w:rPr>
                <w:rFonts w:ascii="Open Sans" w:cs="Open Sans" w:eastAsia="Open Sans" w:hAnsi="Open Sans"/>
                <w:color w:val="59595B"/>
                <w:sz w:val="20"/>
                <w:szCs w:val="20"/>
              </w:rPr>
              <w:t xml:space="preserve">Write a 600-word case study: the challenge, the intervention, the outcome. Post it to the website, Substack, and LinkedIn. This single piece of content will rank organically for "trauma-informed school results California" within 60 days.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3 — LinkedIn authority content: 4-part series</w:t>
            </w:r>
          </w:p>
          <w:p>
            <w:pPr>
              <w:keepNext w:val="false"/>
              <w:keepLines/>
              <w:spacing w:after="60" w:before="40" w:line="300"/>
            </w:pPr>
            <w:r>
              <w:rPr>
                <w:rFonts w:ascii="Open Sans" w:cs="Open Sans" w:eastAsia="Open Sans" w:hAnsi="Open Sans"/>
                <w:color w:val="59595B"/>
                <w:sz w:val="20"/>
                <w:szCs w:val="20"/>
              </w:rPr>
              <w:t xml:space="preserve">Repurpose the "Neuroscience Behind Misbehavior" paper into a 4-part LinkedIn series: (1) what ACEs do to the developing brain, (2) why punishment fails dysregulated students, (3) what co-regulation looks like in a classroom, (4) how the 70% outcome was achieved. Jennifer's 464+ connections are largely education professionals — the audience is already there.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Quick Win 4 — Submit one ACSA or CDE conference speaking proposal</w:t>
            </w:r>
          </w:p>
          <w:p>
            <w:pPr>
              <w:keepNext w:val="false"/>
              <w:keepLines/>
              <w:spacing w:after="60" w:before="40" w:line="300"/>
            </w:pPr>
            <w:r>
              <w:rPr>
                <w:rFonts w:ascii="Open Sans" w:cs="Open Sans" w:eastAsia="Open Sans" w:hAnsi="Open Sans"/>
                <w:color w:val="59595B"/>
                <w:sz w:val="20"/>
                <w:szCs w:val="20"/>
              </w:rPr>
              <w:t xml:space="preserve">Superintendents and district directors attend ACSA (Association of California School Administrators) conferences. A 30-minute session on "Breaking the School-to-Prison Pipeline: What One District Achieved in a Year" creates both visibility and credibility with the exact buyer ThriveWell needs.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5 — Add an online inquiry form with intake questions</w:t>
            </w:r>
          </w:p>
          <w:p>
            <w:pPr>
              <w:keepNext w:val="false"/>
              <w:keepLines/>
              <w:spacing w:after="60" w:before="40" w:line="300"/>
            </w:pPr>
            <w:r>
              <w:rPr>
                <w:rFonts w:ascii="Open Sans" w:cs="Open Sans" w:eastAsia="Open Sans" w:hAnsi="Open Sans"/>
                <w:color w:val="59595B"/>
                <w:sz w:val="20"/>
                <w:szCs w:val="20"/>
              </w:rPr>
              <w:t xml:space="preserve">Currently, thrivewellschools.com offers a "Schedule a Free Consultation" CTA. Adding 3 qualifying questions (district size, current challenge, budget cycle) to the intake form triples the information Jennifer gets from the first contact and allows better preparation for every discovery call.</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Quick Win 6 — Claim a Google Business Profile for ThriveWell Schools</w:t>
            </w:r>
          </w:p>
          <w:p>
            <w:pPr>
              <w:keepNext w:val="false"/>
              <w:keepLines/>
              <w:spacing w:after="60" w:before="40" w:line="300"/>
            </w:pPr>
            <w:r>
              <w:rPr>
                <w:rFonts w:ascii="Open Sans" w:cs="Open Sans" w:eastAsia="Open Sans" w:hAnsi="Open Sans"/>
                <w:color w:val="59595B"/>
                <w:sz w:val="20"/>
                <w:szCs w:val="20"/>
              </w:rPr>
              <w:t xml:space="preserve">A verified Google Business Profile for "ThriveWell Schools" in Berkeley, CA adds a local SEO anchor, enables Google reviews from past district clients, and surfaces ThriveWell in Google Maps results for K-12 education consultants in Northern California.</w:t>
            </w:r>
          </w:p>
        </w:tc>
      </w:tr>
    </w:tbl>
    <w:p>
      <w:pPr>
        <w:pStyle w:val="Heading1"/>
        <w:keepNext/>
        <w:pageBreakBefore/>
        <w:spacing w:after="120" w:before="0" w:line="240"/>
      </w:pPr>
      <w:r>
        <w:rPr>
          <w:rFonts w:ascii="Open Sans" w:cs="Open Sans" w:eastAsia="Open Sans" w:hAnsi="Open Sans"/>
          <w:color w:val="FFFFFF"/>
          <w:sz w:val="2"/>
          <w:szCs w:val="2"/>
        </w:rPr>
        <w:t xml:space="preserve">15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15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discovery questions allow Technijian to refine the investment model, confirm the GTM motion, and identify the highest-priority first move. They are not requests for information ThriveWell is obligated to share — they are the questions that make the engagement more precise.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5460"/>
        <w:gridCol w:w="3120"/>
      </w:tblGrid>
      <w:tr>
        <w:trPr>
          <w:cantSplit/>
          <w:tblHeader/>
        </w:trPr>
        <w:tc>
          <w:tcPr>
            <w:tcW w:type="dxa" w:w="78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t>
            </w:r>
          </w:p>
        </w:tc>
        <w:tc>
          <w:tcPr>
            <w:tcW w:type="dxa" w:w="546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many active district clients does ThriveWell currently serve, and what does a typical engagement look like in terms of scope and duration?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ROI model and defines what "capacity" means today</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average contract value for a full-year training + coaching engagement?</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Makes the ROI model precise — right now it uses illustrative placeholders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Have any districts expressed interest in virtual or online delivery? Is there a waiting list of districts Jennifer cannot currently serve due to geography or calendar?</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urgency of online platform investment</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Has ThriveWell applied for any California wellness grants (CYBHI, CCSPP, Title IV) as an applicant or supported a district's application?</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grant AI priority and identifies quick grant wins</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the Antioch-area middle school case study available for public use with the school named, or should it remain anonymized?</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how prominently to feature the outcome in marketing materials</w:t>
            </w:r>
          </w:p>
        </w:tc>
      </w:tr>
      <w:tr>
        <w:trPr>
          <w:cantSplit/>
        </w:trPr>
        <w:tc>
          <w:tcPr>
            <w:tcW w:type="dxa" w:w="78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w:t>
            </w:r>
          </w:p>
        </w:tc>
        <w:tc>
          <w:tcPr>
            <w:tcW w:type="dxa" w:w="54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What is the primary channel through which ThriveWell currently finds new district clients — referral, conference, or inbound search?</w:t>
            </w:r>
          </w:p>
        </w:tc>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SEO or account intelligence is the higher-priority first move</w:t>
            </w:r>
          </w:p>
        </w:tc>
      </w:tr>
      <w:tr>
        <w:trPr>
          <w:cantSplit/>
        </w:trPr>
        <w:tc>
          <w:tcPr>
            <w:tcW w:type="dxa" w:w="78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7</w:t>
            </w:r>
          </w:p>
        </w:tc>
        <w:tc>
          <w:tcPr>
            <w:tcW w:type="dxa" w:w="54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Is there a target geography beyond California — other states, national expansion — in the 1–3 year plan?</w:t>
            </w:r>
          </w:p>
        </w:tc>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Determines whether the platform needs to scale nationally or CA-first</w:t>
            </w:r>
          </w:p>
        </w:tc>
      </w:tr>
    </w:tbl>
    <w:p>
      <w:pPr>
        <w:pStyle w:val="Heading1"/>
        <w:keepNext/>
        <w:pageBreakBefore/>
        <w:spacing w:after="120" w:before="0" w:line="240"/>
      </w:pPr>
      <w:r>
        <w:rPr>
          <w:rFonts w:ascii="Open Sans" w:cs="Open Sans" w:eastAsia="Open Sans" w:hAnsi="Open Sans"/>
          <w:color w:val="FFFFFF"/>
          <w:sz w:val="2"/>
          <w:szCs w:val="2"/>
        </w:rPr>
        <w:t xml:space="preserve">16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16  Questions We Usually Get</w:t>
            </w:r>
          </w:p>
        </w:tc>
      </w:tr>
    </w:tbl>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ThriveWell's leadership is most likely asking right now.</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work mostly by referral and word of mouth. Why add this now?</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Referrals are a strength — keep them. What they cannot do is reach the districts that just won wellness funding or changed leadership this quarter and are searching right now. AI account intelligence and search visibility find those districts while the funding window is open, so referrals are no longer the only source of new work.</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SEO content, account monitoring, grant-narrative drafts — not autonomous "agents" doing your job.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district and student-behavior data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Sensitive data never touches a public AI model; we deploy private, governed systems with human review on anything district-facing or grant-bound, led by a CISSP-certified team. Data governance is built into the engagement, FERPA-aware from day one.</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It is mostly just me. Do I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you back hours and remove the geographic ceiling, not add work. Technijian runs the build and the cadence; your involvement is a short monthly strategy session plus reviewing what we draft.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 fixed-price 90-day pilot with a defined success metric (Section 12), month-to-month with no long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approximately $35K for Year 1 at published rates — no hidden fees, no large up-front build. The full engine (the later expansion, including the online platform) is profiled in Section 12, but only after the pilot proves the lift.</w:t>
            </w:r>
          </w:p>
        </w:tc>
      </w:tr>
    </w:tbl>
    <w:p>
      <w:pPr>
        <w:pStyle w:val="Heading1"/>
        <w:keepNext/>
        <w:pageBreakBefore/>
        <w:spacing w:after="120" w:before="0" w:line="240"/>
      </w:pPr>
      <w:r>
        <w:rPr>
          <w:rFonts w:ascii="Open Sans" w:cs="Open Sans" w:eastAsia="Open Sans" w:hAnsi="Open Sans"/>
          <w:color w:val="FFFFFF"/>
          <w:sz w:val="2"/>
          <w:szCs w:val="2"/>
        </w:rPr>
        <w:t xml:space="preserve">17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blueprint is the starting point for a conversation — not a commitment. The next step is a 30-minute call to walk through the three motions, answer the calibration questions, and identify which move creates the most value fastest for ThriveWell.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8"/>
        <w:gridCol w:w="2675"/>
      </w:tblGrid>
      <w:tr>
        <w:trPr>
          <w:cantSplit/>
          <w:tblHeader/>
        </w:trPr>
        <w:tc>
          <w:tcPr>
            <w:tcW w:type="dxa" w:w="13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Step</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Action</w:t>
            </w:r>
          </w:p>
        </w:tc>
        <w:tc>
          <w:tcPr>
            <w:tcW w:type="dxa" w:w="267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Timeline</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1</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this blueprint and identify any corrections or clarifications</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This week</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2</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30-minute discovery call with Technijian to walk through the three motions and answer calibration questions</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This week / next week</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3</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 scopes the entry package based on discovery conversation</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Within 3 business days of call</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1EAAC8"/>
                <w:sz w:val="20"/>
                <w:szCs w:val="20"/>
              </w:rPr>
              <w:t xml:space="preserve">4</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 — one day, maps ThriveWell's full AI opportunity</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 1 of engagement</w:t>
            </w:r>
          </w:p>
        </w:tc>
      </w:tr>
      <w:tr>
        <w:trPr>
          <w:cantSplit/>
        </w:trPr>
        <w:tc>
          <w:tcPr>
            <w:tcW w:type="dxa" w:w="13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5</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launch — keyword strategy and first content pieces go live</w:t>
            </w:r>
          </w:p>
        </w:tc>
        <w:tc>
          <w:tcPr>
            <w:tcW w:type="dxa" w:w="267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14–30</w:t>
            </w:r>
          </w:p>
        </w:tc>
      </w:tr>
      <w:tr>
        <w:trPr>
          <w:cantSplit/>
        </w:trPr>
        <w:tc>
          <w:tcPr>
            <w:tcW w:type="dxa" w:w="13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F67D4B"/>
                <w:sz w:val="20"/>
                <w:szCs w:val="20"/>
              </w:rPr>
              <w:t xml:space="preserve">6</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Review 90-day SEO and content performance; decide on Phase 2 timing</w:t>
            </w:r>
          </w:p>
        </w:tc>
        <w:tc>
          <w:tcPr>
            <w:tcW w:type="dxa" w:w="267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 90</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Ready to get ThriveWell found, seen, and funded?</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18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18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 California-based technology services firm serving businesses, nonprofits, and professional services organizations across the United States. Our work spans managed IT, cybersecurity, AI implementation, custom software development, and digital marketing — united by a commitment to technology as a solution, not a complication.</w:t>
      </w:r>
    </w:p>
    <w:p>
      <w:pPr>
        <w:spacing w:after="140" w:before="0" w:line="320"/>
        <w:jc w:val="both"/>
      </w:pPr>
      <w:r>
        <w:rPr>
          <w:rFonts w:ascii="Open Sans" w:cs="Open Sans" w:eastAsia="Open Sans" w:hAnsi="Open Sans"/>
          <w:b w:val="false"/>
          <w:bCs w:val="false"/>
          <w:i w:val="false"/>
          <w:iCs w:val="false"/>
          <w:color w:val="59595B"/>
          <w:sz w:val="22"/>
          <w:szCs w:val="22"/>
        </w:rPr>
        <w:t xml:space="preserve">We serve clients who need a partner that understands both the technology and the domain — a firm that can build the infrastructure, implement the AI, and understand why the restorative justice lens matters. Our team includes engineers, AI specialists, marketers, and developers who build for results, not for demos.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Line</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Is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SEO, AI search optimization, and thought leadership content — built for professional services firms with differentiated expertise</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AI-driven account intelligence and named-account monitoring — surfaces the right prospect at the right moment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Executive Workshop</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One-day intensive: maps an organization's AI growth opportunity and produces a prioritized 12-month roadmap</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Fractional Advisor</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Ongoing strategic AI guidance — quarterly roadmaps, tool selection, vendor evaluation, implementation oversight</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software and platform development — LMS, dashboards, data tools, and web applications built to production quality</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Managed</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security, uptime, and maintenance for custom-built platforms — so Jennifer focuses on clients, not servers</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My Security</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and cybersecurity for professional services organizations — HIPAA-aware, compliance-ready infrastructure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spacing w:after="0" w:before="120"/>
      </w:pPr>
      <w:r>
        <w:t xml:space="preserve"/>
      </w:r>
    </w:p>
    <w:p>
      <w:pPr>
        <w:spacing w:after="140" w:before="0" w:line="320"/>
        <w:jc w:val="center"/>
      </w:pPr>
      <w:r>
        <w:rPr>
          <w:rFonts w:ascii="Open Sans" w:cs="Open Sans" w:eastAsia="Open Sans" w:hAnsi="Open Sans"/>
          <w:b/>
          <w:bCs/>
          <w:i w:val="false"/>
          <w:iCs w:val="false"/>
          <w:color w:val="006DB6"/>
          <w:sz w:val="24"/>
          <w:szCs w:val="24"/>
        </w:rPr>
        <w:t xml:space="preserve">"technology as a solution"</w:t>
      </w:r>
    </w:p>
    <w:p>
      <w:pPr>
        <w:pStyle w:val="Heading1"/>
        <w:keepNext/>
        <w:pageBreakBefore/>
        <w:spacing w:after="120" w:before="0" w:line="240"/>
      </w:pPr>
      <w:r>
        <w:rPr>
          <w:rFonts w:ascii="Open Sans" w:cs="Open Sans" w:eastAsia="Open Sans" w:hAnsi="Open Sans"/>
          <w:color w:val="FFFFFF"/>
          <w:sz w:val="2"/>
          <w:szCs w:val="2"/>
        </w:rPr>
        <w:t xml:space="preserve">A  Appendix — Sources &amp; References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 &amp; References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2026. All financial projections, ROI models, and investment scenarios are illustrative estimates based on industry benchmarks and Technijian's published service rates. District contract values are placeholders — actual ThriveWell pricing was not available to Technijian at time of preparation. No guarantee of specific results is expressed or implied.</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ThriveWell Schools official website — thrivewellschools.com</w:t>
      </w:r>
    </w:p>
    <w:p>
      <w:pPr>
        <w:spacing w:after="140" w:before="0" w:line="320"/>
        <w:jc w:val="both"/>
      </w:pPr>
      <w:r>
        <w:rPr>
          <w:rFonts w:ascii="Open Sans" w:cs="Open Sans" w:eastAsia="Open Sans" w:hAnsi="Open Sans"/>
          <w:b w:val="false"/>
          <w:bCs w:val="false"/>
          <w:i w:val="false"/>
          <w:iCs w:val="false"/>
          <w:color w:val="59595B"/>
          <w:sz w:val="20"/>
          <w:szCs w:val="20"/>
        </w:rPr>
        <w:t xml:space="preserve">2. Jennifer Lynn-Whaley, PhD — LinkedIn profile (retrieved 2026-06-08)</w:t>
      </w:r>
    </w:p>
    <w:p>
      <w:pPr>
        <w:spacing w:after="140" w:before="0" w:line="320"/>
        <w:jc w:val="both"/>
      </w:pPr>
      <w:r>
        <w:rPr>
          <w:rFonts w:ascii="Open Sans" w:cs="Open Sans" w:eastAsia="Open Sans" w:hAnsi="Open Sans"/>
          <w:b w:val="false"/>
          <w:bCs w:val="false"/>
          <w:i w:val="false"/>
          <w:iCs w:val="false"/>
          <w:color w:val="59595B"/>
          <w:sz w:val="20"/>
          <w:szCs w:val="20"/>
        </w:rPr>
        <w:t xml:space="preserve">3. RAND Corporation — Teacher Burnout Survey 2025</w:t>
      </w:r>
    </w:p>
    <w:p>
      <w:pPr>
        <w:spacing w:after="140" w:before="0" w:line="320"/>
        <w:jc w:val="both"/>
      </w:pPr>
      <w:r>
        <w:rPr>
          <w:rFonts w:ascii="Open Sans" w:cs="Open Sans" w:eastAsia="Open Sans" w:hAnsi="Open Sans"/>
          <w:b w:val="false"/>
          <w:bCs w:val="false"/>
          <w:i w:val="false"/>
          <w:iCs w:val="false"/>
          <w:color w:val="59595B"/>
          <w:sz w:val="20"/>
          <w:szCs w:val="20"/>
        </w:rPr>
        <w:t xml:space="preserve">4. PPIC — How California Is Investing in School-Based Mental Health Services for Teens (ppic.org)</w:t>
      </w:r>
    </w:p>
    <w:p>
      <w:pPr>
        <w:spacing w:after="140" w:before="0" w:line="320"/>
        <w:jc w:val="both"/>
      </w:pPr>
      <w:r>
        <w:rPr>
          <w:rFonts w:ascii="Open Sans" w:cs="Open Sans" w:eastAsia="Open Sans" w:hAnsi="Open Sans"/>
          <w:b w:val="false"/>
          <w:bCs w:val="false"/>
          <w:i w:val="false"/>
          <w:iCs w:val="false"/>
          <w:color w:val="59595B"/>
          <w:sz w:val="20"/>
          <w:szCs w:val="20"/>
        </w:rPr>
        <w:t xml:space="preserve">5. Blue Shield of California — California Schools &amp; Community Leaders Step Up for Youth Mental Health, June 2026</w:t>
      </w:r>
    </w:p>
    <w:p>
      <w:pPr>
        <w:spacing w:after="140" w:before="0" w:line="320"/>
        <w:jc w:val="both"/>
      </w:pPr>
      <w:r>
        <w:rPr>
          <w:rFonts w:ascii="Open Sans" w:cs="Open Sans" w:eastAsia="Open Sans" w:hAnsi="Open Sans"/>
          <w:b w:val="false"/>
          <w:bCs w:val="false"/>
          <w:i w:val="false"/>
          <w:iCs w:val="false"/>
          <w:color w:val="59595B"/>
          <w:sz w:val="20"/>
          <w:szCs w:val="20"/>
        </w:rPr>
        <w:t xml:space="preserve">6. K-12 Mental Health Software Vendors, Pricing &amp; Contracts 2026 — Civic IQ Blog (civiciq.com)</w:t>
      </w:r>
    </w:p>
    <w:p>
      <w:pPr>
        <w:spacing w:after="140" w:before="0" w:line="320"/>
        <w:jc w:val="both"/>
      </w:pPr>
      <w:r>
        <w:rPr>
          <w:rFonts w:ascii="Open Sans" w:cs="Open Sans" w:eastAsia="Open Sans" w:hAnsi="Open Sans"/>
          <w:b w:val="false"/>
          <w:bCs w:val="false"/>
          <w:i w:val="false"/>
          <w:iCs w:val="false"/>
          <w:color w:val="59595B"/>
          <w:sz w:val="20"/>
          <w:szCs w:val="20"/>
        </w:rPr>
        <w:t xml:space="preserve">7. ORI Learning — SEL Grants for Schools 2026: Funding Sources &amp; How to Apply</w:t>
      </w:r>
    </w:p>
    <w:p>
      <w:pPr>
        <w:spacing w:after="140" w:before="0" w:line="320"/>
        <w:jc w:val="both"/>
      </w:pPr>
      <w:r>
        <w:rPr>
          <w:rFonts w:ascii="Open Sans" w:cs="Open Sans" w:eastAsia="Open Sans" w:hAnsi="Open Sans"/>
          <w:b w:val="false"/>
          <w:bCs w:val="false"/>
          <w:i w:val="false"/>
          <w:iCs w:val="false"/>
          <w:color w:val="59595B"/>
          <w:sz w:val="20"/>
          <w:szCs w:val="20"/>
        </w:rPr>
        <w:t xml:space="preserve">8. Youth Today — What Are Wellness Rooms and Why Do Schools Need Them? (October 2023)</w:t>
      </w:r>
    </w:p>
    <w:p>
      <w:pPr>
        <w:spacing w:after="140" w:before="0" w:line="320"/>
        <w:jc w:val="both"/>
      </w:pPr>
      <w:r>
        <w:rPr>
          <w:rFonts w:ascii="Open Sans" w:cs="Open Sans" w:eastAsia="Open Sans" w:hAnsi="Open Sans"/>
          <w:b w:val="false"/>
          <w:bCs w:val="false"/>
          <w:i w:val="false"/>
          <w:iCs w:val="false"/>
          <w:color w:val="59595B"/>
          <w:sz w:val="20"/>
          <w:szCs w:val="20"/>
        </w:rPr>
        <w:t xml:space="preserve">9. IES Regional Education Laboratory Northwest — Using Restorative Practices in Schools (January 2025)</w:t>
      </w:r>
    </w:p>
    <w:p>
      <w:pPr>
        <w:spacing w:after="140" w:before="0" w:line="320"/>
        <w:jc w:val="both"/>
      </w:pPr>
      <w:r>
        <w:rPr>
          <w:rFonts w:ascii="Open Sans" w:cs="Open Sans" w:eastAsia="Open Sans" w:hAnsi="Open Sans"/>
          <w:b w:val="false"/>
          <w:bCs w:val="false"/>
          <w:i w:val="false"/>
          <w:iCs w:val="false"/>
          <w:color w:val="59595B"/>
          <w:sz w:val="20"/>
          <w:szCs w:val="20"/>
        </w:rPr>
        <w:t xml:space="preserve">10. Oxford Academic — Trauma-Informed Restorative Justice Practices in Schools (Community Schools, Vol. 44, Issue 2)</w:t>
      </w:r>
    </w:p>
    <w:p>
      <w:pPr>
        <w:spacing w:after="140" w:before="0" w:line="320"/>
        <w:jc w:val="both"/>
      </w:pPr>
      <w:r>
        <w:rPr>
          <w:rFonts w:ascii="Open Sans" w:cs="Open Sans" w:eastAsia="Open Sans" w:hAnsi="Open Sans"/>
          <w:b w:val="false"/>
          <w:bCs w:val="false"/>
          <w:i w:val="false"/>
          <w:iCs w:val="false"/>
          <w:color w:val="59595B"/>
          <w:sz w:val="20"/>
          <w:szCs w:val="20"/>
        </w:rPr>
        <w:t xml:space="preserve">11. Why Me? Restorative Services — Breaking the School-to-Prison Pipeline Through Restorative Practices (2025)</w:t>
      </w:r>
    </w:p>
    <w:p>
      <w:pPr>
        <w:spacing w:after="140" w:before="0" w:line="320"/>
        <w:jc w:val="both"/>
      </w:pPr>
      <w:r>
        <w:rPr>
          <w:rFonts w:ascii="Open Sans" w:cs="Open Sans" w:eastAsia="Open Sans" w:hAnsi="Open Sans"/>
          <w:b w:val="false"/>
          <w:bCs w:val="false"/>
          <w:i w:val="false"/>
          <w:iCs w:val="false"/>
          <w:color w:val="59595B"/>
          <w:sz w:val="20"/>
          <w:szCs w:val="20"/>
        </w:rPr>
        <w:t xml:space="preserve">12. PublicSchoolReview.com — Public Schools Supporting Student Mental Health in 2026</w:t>
      </w:r>
    </w:p>
    <w:p>
      <w:pPr>
        <w:spacing w:after="140" w:before="0" w:line="320"/>
        <w:jc w:val="both"/>
      </w:pPr>
      <w:r>
        <w:rPr>
          <w:rFonts w:ascii="Open Sans" w:cs="Open Sans" w:eastAsia="Open Sans" w:hAnsi="Open Sans"/>
          <w:b w:val="false"/>
          <w:bCs w:val="false"/>
          <w:i w:val="false"/>
          <w:iCs w:val="false"/>
          <w:color w:val="59595B"/>
          <w:sz w:val="20"/>
          <w:szCs w:val="20"/>
        </w:rPr>
        <w:t xml:space="preserve">13. Conscious Discipline — Methodology overview (consciousdiscipline.com)</w:t>
      </w:r>
    </w:p>
    <w:p>
      <w:pPr>
        <w:spacing w:after="140" w:before="0" w:line="320"/>
        <w:jc w:val="both"/>
      </w:pPr>
      <w:r>
        <w:rPr>
          <w:rFonts w:ascii="Open Sans" w:cs="Open Sans" w:eastAsia="Open Sans" w:hAnsi="Open Sans"/>
          <w:b w:val="false"/>
          <w:bCs w:val="false"/>
          <w:i w:val="false"/>
          <w:iCs w:val="false"/>
          <w:color w:val="59595B"/>
          <w:sz w:val="20"/>
          <w:szCs w:val="20"/>
        </w:rPr>
        <w:t xml:space="preserve">14. Wallace Foundation — Navigating Social Emotional Learning Inside Out</w:t>
      </w:r>
    </w:p>
    <w:p>
      <w:pPr>
        <w:spacing w:after="140" w:before="0" w:line="320"/>
        <w:jc w:val="both"/>
      </w:pPr>
      <w:r>
        <w:rPr>
          <w:rFonts w:ascii="Open Sans" w:cs="Open Sans" w:eastAsia="Open Sans" w:hAnsi="Open Sans"/>
          <w:b w:val="false"/>
          <w:bCs w:val="false"/>
          <w:i w:val="false"/>
          <w:iCs w:val="false"/>
          <w:color w:val="59595B"/>
          <w:sz w:val="20"/>
          <w:szCs w:val="20"/>
        </w:rPr>
        <w:t xml:space="preserve">15. Fomcore — Wellness Rooms in Schools: A Complete Guide</w:t>
      </w:r>
    </w:p>
    <w:p>
      <w:pPr>
        <w:spacing w:after="140" w:before="0" w:line="320"/>
        <w:jc w:val="both"/>
      </w:pPr>
      <w:r>
        <w:rPr>
          <w:rFonts w:ascii="Open Sans" w:cs="Open Sans" w:eastAsia="Open Sans" w:hAnsi="Open Sans"/>
          <w:b w:val="false"/>
          <w:bCs w:val="false"/>
          <w:i w:val="false"/>
          <w:iCs w:val="false"/>
          <w:color w:val="59595B"/>
          <w:sz w:val="20"/>
          <w:szCs w:val="20"/>
        </w:rPr>
        <w:t xml:space="preserve">16. California Department of Education — LCFF Cost-of-Living Adjustment FY2026</w:t>
      </w:r>
    </w:p>
    <w:p>
      <w:pPr>
        <w:spacing w:after="140" w:before="0" w:line="320"/>
        <w:jc w:val="both"/>
      </w:pPr>
      <w:r>
        <w:rPr>
          <w:rFonts w:ascii="Open Sans" w:cs="Open Sans" w:eastAsia="Open Sans" w:hAnsi="Open Sans"/>
          <w:b w:val="false"/>
          <w:bCs w:val="false"/>
          <w:i w:val="false"/>
          <w:iCs w:val="false"/>
          <w:color w:val="59595B"/>
          <w:sz w:val="20"/>
          <w:szCs w:val="20"/>
        </w:rPr>
        <w:t xml:space="preserve">17. EdSource — California school district wellness funding coverage (2025–2026)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AI-Driven Growth Blueprint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25d76e888e43f1d84823b6138349e4b4a35992f7.png"/><Relationship Id="rId11" Type="http://schemas.openxmlformats.org/officeDocument/2006/relationships/image" Target="media/01327c90709354fcf2b523ceedcbb922f19e3c1f.png"/><Relationship Id="rId12" Type="http://schemas.openxmlformats.org/officeDocument/2006/relationships/image" Target="media/3865d37c1b7f83c03cefa055127522081080d424.png"/><Relationship Id="rId13" Type="http://schemas.openxmlformats.org/officeDocument/2006/relationships/image" Target="media/a70a4558168fdc7eac69755bd4c33e8e8e401c0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2026-06-11T05:53:48.639Z</dcterms:created>
  <dcterms:modified xsi:type="dcterms:W3CDTF">2026-06-11T05:53:48.641Z</dcterms:modified>
</cp:coreProperties>
</file>

<file path=docProps/custom.xml><?xml version="1.0" encoding="utf-8"?>
<Properties xmlns="http://schemas.openxmlformats.org/officeDocument/2006/custom-properties" xmlns:vt="http://schemas.openxmlformats.org/officeDocument/2006/docPropsVTypes"/>
</file>