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60"/>
          <w:szCs w:val="60"/>
        </w:rPr>
        <w:t xml:space="preserve">VIA AUTO FINANCE</w:t>
      </w:r>
    </w:p>
    <w:p>
      <w:pPr>
        <w:spacing w:after="80"/>
        <w:jc w:val="center"/>
      </w:pPr>
      <w:r>
        <w:rPr>
          <w:rFonts w:ascii="Open Sans" w:cs="Open Sans" w:eastAsia="Open Sans" w:hAnsi="Open Sans"/>
          <w:b w:val="false"/>
          <w:bCs w:val="false"/>
          <w:color w:val="59595B"/>
          <w:sz w:val="24"/>
          <w:szCs w:val="24"/>
        </w:rPr>
        <w:t xml:space="preserve">Indirect Auto Lending — A Credit Union Service Organization</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2026-05-26</w:t>
      </w:r>
    </w:p>
    <w:p>
      <w:pPr>
        <w:spacing w:after="40"/>
        <w:jc w:val="center"/>
      </w:pPr>
      <w:r>
        <w:rPr>
          <w:rFonts w:ascii="Open Sans" w:cs="Open Sans" w:eastAsia="Open Sans" w:hAnsi="Open Sans"/>
          <w:color w:val="59595B"/>
          <w:sz w:val="22"/>
          <w:szCs w:val="22"/>
        </w:rPr>
        <w:t xml:space="preserve">Irvine, California  |  viaautofinance.com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VIA Auto Finance</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2022</w:t>
            </w:r>
          </w:p>
          <w:p>
            <w:pPr>
              <w:spacing w:after="0"/>
              <w:jc w:val="center"/>
            </w:pPr>
            <w:r>
              <w:rPr>
                <w:rFonts w:ascii="Open Sans" w:cs="Open Sans" w:eastAsia="Open Sans" w:hAnsi="Open Sans"/>
                <w:color w:val="59595B"/>
                <w:sz w:val="17"/>
                <w:szCs w:val="17"/>
              </w:rPr>
              <w:t xml:space="preserve">CUSO Launched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$350M+</w:t>
            </w:r>
          </w:p>
          <w:p>
            <w:pPr>
              <w:spacing w:after="0"/>
              <w:jc w:val="center"/>
            </w:pPr>
            <w:r>
              <w:rPr>
                <w:rFonts w:ascii="Open Sans" w:cs="Open Sans" w:eastAsia="Open Sans" w:hAnsi="Open Sans"/>
                <w:color w:val="59595B"/>
                <w:sz w:val="17"/>
                <w:szCs w:val="17"/>
              </w:rPr>
              <w:t xml:space="preserve">Originations in Under 3 Years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10,000+</w:t>
            </w:r>
          </w:p>
          <w:p>
            <w:pPr>
              <w:spacing w:after="0"/>
              <w:jc w:val="center"/>
            </w:pPr>
            <w:r>
              <w:rPr>
                <w:rFonts w:ascii="Open Sans" w:cs="Open Sans" w:eastAsia="Open Sans" w:hAnsi="Open Sans"/>
                <w:color w:val="59595B"/>
                <w:sz w:val="17"/>
                <w:szCs w:val="17"/>
              </w:rPr>
              <w:t xml:space="preserve">New Credit-Union Members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4"/>
                <w:szCs w:val="44"/>
              </w:rPr>
              <w:t xml:space="preserve">5 → 20+</w:t>
            </w:r>
          </w:p>
          <w:p>
            <w:pPr>
              <w:spacing w:after="0"/>
              <w:jc w:val="center"/>
            </w:pPr>
            <w:r>
              <w:rPr>
                <w:rFonts w:ascii="Open Sans" w:cs="Open Sans" w:eastAsia="Open Sans" w:hAnsi="Open Sans"/>
                <w:color w:val="59595B"/>
                <w:sz w:val="17"/>
                <w:szCs w:val="17"/>
              </w:rPr>
              <w:t xml:space="preserve">States, Today to Planned</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VIA Auto Finance is a Credit Union Service Organization. It originates, underwrites, and prices prime and near-prime auto loans through car dealerships, and its partner credit union, American Heritage, funds and services them while the borrower becomes a member. In under three years that model has produced more than $350 million in originations and roughly ten thousand new members, and VIA is now expanding from five states toward twenty-plus and recruiting additional credit-union partners onto the platform.</w:t>
      </w:r>
    </w:p>
    <w:p>
      <w:pPr>
        <w:spacing w:after="140" w:before="0" w:line="320"/>
        <w:jc w:val="both"/>
      </w:pPr>
      <w:r>
        <w:rPr>
          <w:rFonts w:ascii="Open Sans" w:cs="Open Sans" w:eastAsia="Open Sans" w:hAnsi="Open Sans"/>
          <w:b w:val="false"/>
          <w:bCs w:val="false"/>
          <w:i w:val="false"/>
          <w:iCs w:val="false"/>
          <w:color w:val="59595B"/>
          <w:sz w:val="22"/>
          <w:szCs w:val="22"/>
        </w:rPr>
        <w:t xml:space="preserve">VIA’s growth comes down to a simple equation: more dealers, more funded loans per dealer, and a protected return for the credit union that funds it all. The structural advantage is real. Because the loans are funded by credit-union deposits, VIA carries a cost-of-capital edge that the independent finance companies and the venture-backed fintechs simply do not have. The gap is operational, not financial: dealers now choose a lender on funding speed, not rate, and VIA is still largely manual, with no public dealer portal and no AI in the workflow.</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account-based program with three moves: win more dealers (AI account intelligence that prioritizes the right rooftops and captures the relationships competitors are abandoning), fund faster and safer (document verification and fraud screening that turn days into minutes and protect the credit union’s return), and protect and scale (explainable, audit-ready compliance plus the platform credibility to bring on the next credit-union partner). It is deliberately account-based, because VIA already knows who its targets are, and there is no consumer marketing in it.</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VIA’s credit-union deposit funding is a cost-of-capital moat no independent or fintech rival has — but dealers now choose on funding speed, and VIA is still manual. Pair the moat with AI funding-speed and VIA owns a corner no one else can reach.</w:t>
            </w:r>
          </w:p>
          <w:p>
            <w:pPr>
              <w:keepNext/>
              <w:keepLines/>
              <w:spacing w:after="60" w:before="40" w:line="300"/>
            </w:pPr>
            <w:r>
              <w:rPr>
                <w:rFonts w:ascii="Open Sans" w:cs="Open Sans" w:eastAsia="Open Sans" w:hAnsi="Open Sans"/>
                <w:color w:val="59595B"/>
                <w:sz w:val="20"/>
                <w:szCs w:val="20"/>
              </w:rPr>
              <w:t xml:space="preserve">Growth is gated by dealer count. AI account intelligence multiplies a finite field team across the 20-state expansion — and competitor retrenchment (Prestige, Truist, the Tricolor collapse) is freeing up dealer relationships right now.</w:t>
            </w:r>
          </w:p>
          <w:p>
            <w:pPr>
              <w:keepNext w:val="false"/>
              <w:keepLines/>
              <w:spacing w:after="60" w:before="40" w:line="300"/>
            </w:pPr>
            <w:r>
              <w:rPr>
                <w:rFonts w:ascii="Open Sans" w:cs="Open Sans" w:eastAsia="Open Sans" w:hAnsi="Open Sans"/>
                <w:color w:val="59595B"/>
                <w:sz w:val="20"/>
                <w:szCs w:val="20"/>
              </w:rPr>
              <w:t xml:space="preserve">Every play protects the relationship that funds everything — the credit union’s return — through faster, cleaner, fraud-screened, and explainable originations. That protection is what grows the program’s capacity and brings on the next CU partner.</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VIA’s internal metrics (active dealer count, annual origination run-rate, time-to-fund, and the CUSO’s per-loan economics) were not available for this draft. Every projection below is labeled estimated and conservative, and calibrates to real numbers after a short discovery call — the specific questions are in Section 15.</w:t>
      </w:r>
    </w:p>
    <w:p>
      <w:pPr>
        <w:pStyle w:val="Heading1"/>
        <w:keepNext/>
        <w:pageBreakBefore/>
        <w:spacing w:after="120" w:before="0" w:line="240"/>
      </w:pPr>
      <w:r>
        <w:rPr>
          <w:rFonts w:ascii="Open Sans" w:cs="Open Sans" w:eastAsia="Open Sans" w:hAnsi="Open Sans"/>
          <w:color w:val="FFFFFF"/>
          <w:sz w:val="2"/>
          <w:szCs w:val="2"/>
        </w:rPr>
        <w:t xml:space="preserve">02  The Business Model — A Credit-Union-Backed CUSO</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Business Model — A Credit-Union-Backed CUSO</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VIA has to start with how the business actually works, because the structure is unusual and it drives everything. VIA is not a balance-sheet lender. It is the dealer-acquisition, origination, and underwriting engine; American Heritage Credit Union is the balance sheet and the servicer. A dealer submits a deal, VIA originates and prices it, the loan is awarded to the credit union, the credit union funds and services it, and the borrower becomes a member. VIA earns CUSO economics on each loan; the credit union gains higher-return auto assets and new members.</w:t>
      </w:r>
    </w:p>
    <w:p>
      <w:pPr>
        <w:spacing w:after="0" w:before="160"/>
      </w:pPr>
      <w:r>
        <w:t xml:space="preserve"/>
      </w:r>
    </w:p>
    <w:p>
      <w:pPr>
        <w:spacing w:after="80" w:before="120"/>
        <w:jc w:val="center"/>
      </w:pPr>
      <w:r>
        <w:drawing>
          <wp:inline distT="0" distB="0" distL="0" distR="0">
            <wp:extent cx="5715000" cy="3305175"/>
            <wp:effectExtent t="0" r="0" b="0" l="0"/>
            <wp:docPr id="1" name="The CUSO Model — Three Parties, One Loan" descr="The CUSO Model — Three Parties, One Loan" title="The CUSO Model — Three Parties, One L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The CUSO model: VIA originates and underwrites, the credit union funds and services, the borrower becomes a member</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Two Customers, Not One</w:t>
      </w:r>
    </w:p>
    <w:p>
      <w:pPr>
        <w:spacing w:after="140" w:before="0" w:line="320"/>
        <w:jc w:val="both"/>
      </w:pPr>
      <w:r>
        <w:rPr>
          <w:rFonts w:ascii="Open Sans" w:cs="Open Sans" w:eastAsia="Open Sans" w:hAnsi="Open Sans"/>
          <w:b w:val="false"/>
          <w:bCs w:val="false"/>
          <w:i w:val="false"/>
          <w:iCs w:val="false"/>
          <w:color w:val="59595B"/>
          <w:sz w:val="22"/>
          <w:szCs w:val="22"/>
        </w:rPr>
        <w:t xml:space="preserve">The non-obvious consequence is that VIA has two customers it must win and keep, and a growth program has to serve both:</w:t>
      </w:r>
    </w:p>
    <w:p>
      <w:pPr>
        <w:pStyle w:val="ListParagraph"/>
        <w:numPr>
          <w:ilvl w:val="0"/>
          <w:numId w:val="2"/>
        </w:numPr>
        <w:spacing w:after="80" w:before="40" w:line="300"/>
      </w:pPr>
      <w:r>
        <w:rPr>
          <w:rFonts w:ascii="Open Sans" w:cs="Open Sans" w:eastAsia="Open Sans" w:hAnsi="Open Sans"/>
          <w:color w:val="59595B"/>
          <w:sz w:val="22"/>
          <w:szCs w:val="22"/>
        </w:rPr>
        <w:t xml:space="preserve">The dealer, who sources the paper. VIA wins dealers with fast approvals, workable near-prime structures, and reliable funding — a relationship driven by a field-sales team.</w:t>
      </w:r>
    </w:p>
    <w:p>
      <w:pPr>
        <w:pStyle w:val="ListParagraph"/>
        <w:numPr>
          <w:ilvl w:val="0"/>
          <w:numId w:val="2"/>
        </w:numPr>
        <w:spacing w:after="80" w:before="40" w:line="300"/>
      </w:pPr>
      <w:r>
        <w:rPr>
          <w:rFonts w:ascii="Open Sans" w:cs="Open Sans" w:eastAsia="Open Sans" w:hAnsi="Open Sans"/>
          <w:color w:val="59595B"/>
          <w:sz w:val="22"/>
          <w:szCs w:val="22"/>
        </w:rPr>
        <w:t xml:space="preserve">The funding credit union, which puts up the capital and services the loan. VIA keeps it by delivering return, clean credit quality, member growth, and airtight compliance — which is also what makes the program worth expanding and what attracts the next credit-union partner.</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VIA Already Does Well</w:t>
      </w:r>
    </w:p>
    <w:p>
      <w:pPr>
        <w:spacing w:after="140" w:before="0" w:line="320"/>
        <w:jc w:val="both"/>
      </w:pPr>
      <w:r>
        <w:rPr>
          <w:rFonts w:ascii="Open Sans" w:cs="Open Sans" w:eastAsia="Open Sans" w:hAnsi="Open Sans"/>
          <w:b w:val="false"/>
          <w:bCs w:val="false"/>
          <w:i w:val="false"/>
          <w:iCs w:val="false"/>
          <w:color w:val="59595B"/>
          <w:sz w:val="22"/>
          <w:szCs w:val="22"/>
        </w:rPr>
        <w:t xml:space="preserve">The CUSO is built on real strengths, each of which gets sharper with AI behind it:</w:t>
      </w:r>
    </w:p>
    <w:p>
      <w:pPr>
        <w:pStyle w:val="ListParagraph"/>
        <w:numPr>
          <w:ilvl w:val="0"/>
          <w:numId w:val="2"/>
        </w:numPr>
        <w:spacing w:after="80" w:before="40" w:line="300"/>
      </w:pPr>
      <w:r>
        <w:rPr>
          <w:rFonts w:ascii="Open Sans" w:cs="Open Sans" w:eastAsia="Open Sans" w:hAnsi="Open Sans"/>
          <w:color w:val="59595B"/>
          <w:sz w:val="22"/>
          <w:szCs w:val="22"/>
        </w:rPr>
        <w:t xml:space="preserve">A credit-union deposit funding base — a lower cost of capital than the independents that depend on the asset-backed-securities market, whose subprime spreads widened after the 2025 Tricolor collapse.</w:t>
      </w:r>
    </w:p>
    <w:p>
      <w:pPr>
        <w:pStyle w:val="ListParagraph"/>
        <w:numPr>
          <w:ilvl w:val="0"/>
          <w:numId w:val="2"/>
        </w:numPr>
        <w:spacing w:after="80" w:before="40" w:line="300"/>
      </w:pPr>
      <w:r>
        <w:rPr>
          <w:rFonts w:ascii="Open Sans" w:cs="Open Sans" w:eastAsia="Open Sans" w:hAnsi="Open Sans"/>
          <w:color w:val="59595B"/>
          <w:sz w:val="22"/>
          <w:szCs w:val="22"/>
        </w:rPr>
        <w:t xml:space="preserve">A prime and near-prime focus — the safer side of a market seeing record subprime delinquency — with customized underwriting designed alongside the credit union’s risk team.</w:t>
      </w:r>
    </w:p>
    <w:p>
      <w:pPr>
        <w:pStyle w:val="ListParagraph"/>
        <w:numPr>
          <w:ilvl w:val="0"/>
          <w:numId w:val="2"/>
        </w:numPr>
        <w:spacing w:after="80" w:before="40" w:line="300"/>
      </w:pPr>
      <w:r>
        <w:rPr>
          <w:rFonts w:ascii="Open Sans" w:cs="Open Sans" w:eastAsia="Open Sans" w:hAnsi="Open Sans"/>
          <w:color w:val="59595B"/>
          <w:sz w:val="22"/>
          <w:szCs w:val="22"/>
        </w:rPr>
        <w:t xml:space="preserve">A seasoned, experienced field-sales team driving dealer relationships market by market.</w:t>
      </w:r>
    </w:p>
    <w:p>
      <w:pPr>
        <w:pStyle w:val="ListParagraph"/>
        <w:numPr>
          <w:ilvl w:val="0"/>
          <w:numId w:val="2"/>
        </w:numPr>
        <w:spacing w:after="80" w:before="40" w:line="300"/>
      </w:pPr>
      <w:r>
        <w:rPr>
          <w:rFonts w:ascii="Open Sans" w:cs="Open Sans" w:eastAsia="Open Sans" w:hAnsi="Open Sans"/>
          <w:color w:val="59595B"/>
          <w:sz w:val="22"/>
          <w:szCs w:val="22"/>
        </w:rPr>
        <w:t xml:space="preserve">A proven, repeatable platform — $350 million originated and ten thousand members created — that can be offered to additional credit unions.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Funding Moat Is the Whole Game</w:t>
            </w:r>
          </w:p>
          <w:p>
            <w:pPr>
              <w:keepNext/>
              <w:keepLines/>
              <w:spacing w:after="60" w:before="40" w:line="300"/>
            </w:pPr>
            <w:r>
              <w:rPr>
                <w:rFonts w:ascii="Open Sans" w:cs="Open Sans" w:eastAsia="Open Sans" w:hAnsi="Open Sans"/>
                <w:color w:val="59595B"/>
                <w:sz w:val="20"/>
                <w:szCs w:val="20"/>
              </w:rPr>
              <w:t xml:space="preserve">Credit-union deposit funding gives VIA a cost-of-capital advantage that the venture-backed fintechs and the ABS-dependent independents cannot match. That is a durable, structural edge.</w:t>
            </w:r>
          </w:p>
          <w:p>
            <w:pPr>
              <w:keepNext/>
              <w:keepLines/>
              <w:spacing w:after="60" w:before="40" w:line="300"/>
            </w:pPr>
            <w:r>
              <w:rPr>
                <w:rFonts w:ascii="Open Sans" w:cs="Open Sans" w:eastAsia="Open Sans" w:hAnsi="Open Sans"/>
                <w:color w:val="59595B"/>
                <w:sz w:val="20"/>
                <w:szCs w:val="20"/>
              </w:rPr>
              <w:t xml:space="preserve">But a funding edge only converts to dealer share if VIA can fund fast and clean. Today the moat is real and the operations are manual — so the edge is not yet showing up at the dealer.</w:t>
            </w:r>
          </w:p>
          <w:p>
            <w:pPr>
              <w:keepNext w:val="false"/>
              <w:keepLines/>
              <w:spacing w:after="60" w:before="40" w:line="300"/>
            </w:pPr>
            <w:r>
              <w:rPr>
                <w:rFonts w:ascii="Open Sans" w:cs="Open Sans" w:eastAsia="Open Sans" w:hAnsi="Open Sans"/>
                <w:color w:val="59595B"/>
                <w:sz w:val="20"/>
                <w:szCs w:val="20"/>
              </w:rPr>
              <w:t xml:space="preserve">The entire thesis of this blueprint is to convert the funding moat into dealer share by adding AI funding-speed on top of it — without taking on credit or compliance risk the credit union cannot defend.</w:t>
            </w:r>
          </w:p>
        </w:tc>
      </w:tr>
    </w:tbl>
    <w:p>
      <w:pPr>
        <w:pStyle w:val="Heading1"/>
        <w:keepNext/>
        <w:pageBreakBefore/>
        <w:spacing w:after="120" w:before="0" w:line="240"/>
      </w:pPr>
      <w:r>
        <w:rPr>
          <w:rFonts w:ascii="Open Sans" w:cs="Open Sans" w:eastAsia="Open Sans" w:hAnsi="Open Sans"/>
          <w:color w:val="FFFFFF"/>
          <w:sz w:val="2"/>
          <w:szCs w:val="2"/>
        </w:rPr>
        <w:t xml:space="preserve">03  The Growth Equation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Growth Equation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VIA grows three ways, and only three ways: it signs more dealers, it funds more loans per dealer, and it protects the credit union’s return so the program can keep expanding. Each lever is gated by something operational today, and each is squarely addressable with AI. This is the spine the rest of the plan hangs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Moves It</w:t>
            </w:r>
          </w:p>
        </w:tc>
        <w:tc>
          <w:tcPr>
            <w:tcW w:type="dxa" w:w="33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AI Play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dealers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finite field team can only call on so many rooftops; the 20-state expansion needs prioritization</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scores and ranks the dealers worth recruiting; triggers flag competitor retrenchment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loans per dealer</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Dealers send deals to whoever funds fastest and cleanest; slow stips and manual decisions lose deals</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 verification and instant decisioning clear deals in minutes, lifting capture at every dealer</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Protected return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credit union keeps funding (and adds capacity) only if return, credit quality, and compliance hold</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Fraud screening, explainable underwriting, and portfolio early-warning protect return and credit quality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the Equation Favors VIA Now</w:t>
            </w:r>
          </w:p>
          <w:p>
            <w:pPr>
              <w:keepNext/>
              <w:keepLines/>
              <w:spacing w:after="60" w:before="40" w:line="300"/>
            </w:pPr>
            <w:r>
              <w:rPr>
                <w:rFonts w:ascii="Open Sans" w:cs="Open Sans" w:eastAsia="Open Sans" w:hAnsi="Open Sans"/>
                <w:color w:val="59595B"/>
                <w:sz w:val="20"/>
                <w:szCs w:val="20"/>
              </w:rPr>
              <w:t xml:space="preserve">The market is consolidating in VIA’s favor: as competitors retrench (Prestige stopped new originations, Truist pulled back, Tricolor collapsed), dealer relationships are up for grabs for a disciplined lender that can move.</w:t>
            </w:r>
          </w:p>
          <w:p>
            <w:pPr>
              <w:keepNext/>
              <w:keepLines/>
              <w:spacing w:after="60" w:before="40" w:line="300"/>
            </w:pPr>
            <w:r>
              <w:rPr>
                <w:rFonts w:ascii="Open Sans" w:cs="Open Sans" w:eastAsia="Open Sans" w:hAnsi="Open Sans"/>
                <w:color w:val="59595B"/>
                <w:sz w:val="20"/>
                <w:szCs w:val="20"/>
              </w:rPr>
              <w:t xml:space="preserve">The credit-union channel is winning — credit unions have been the number-one auto originator by units for five straight years — and the channel now competes on speed, accuracy, and predictability, not rate. That is exactly the lane AI improves.</w:t>
            </w:r>
          </w:p>
          <w:p>
            <w:pPr>
              <w:keepNext w:val="false"/>
              <w:keepLines/>
              <w:spacing w:after="60" w:before="40" w:line="300"/>
            </w:pPr>
            <w:r>
              <w:rPr>
                <w:rFonts w:ascii="Open Sans" w:cs="Open Sans" w:eastAsia="Open Sans" w:hAnsi="Open Sans"/>
                <w:color w:val="59595B"/>
                <w:sz w:val="20"/>
                <w:szCs w:val="20"/>
              </w:rPr>
              <w:t xml:space="preserve">Each protected, well-run loan strengthens the case for the next credit-union partner — turning operational excellence into a platform-expansion engine.</w:t>
            </w:r>
          </w:p>
        </w:tc>
      </w:tr>
    </w:tbl>
    <w:p>
      <w:pPr>
        <w:pStyle w:val="Heading1"/>
        <w:keepNext/>
        <w:pageBreakBefore/>
        <w:spacing w:after="120" w:before="0" w:line="240"/>
      </w:pPr>
      <w:r>
        <w:rPr>
          <w:rFonts w:ascii="Open Sans" w:cs="Open Sans" w:eastAsia="Open Sans" w:hAnsi="Open Sans"/>
          <w:color w:val="FFFFFF"/>
          <w:sz w:val="2"/>
          <w:szCs w:val="2"/>
        </w:rPr>
        <w:t xml:space="preserve">04  Industry &amp; Regulatory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Industry &amp; Regulatory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Two forces shape the next few years for an indirect auto lender, and both favor the disciplined, well-funded operator that modernizes first. The market is under affordability and credit pressure even as the credit-union channel gains share; and the regulatory environment is heavy — which is both the burden AI removes and the constraint AI must respect.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(2024–2026)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931"/>
        <w:gridCol w:w="3089"/>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308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VIA</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Affordability pressure</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New-vehicle prices topped $50,000 and average payments passed $750/month</w:t>
            </w:r>
          </w:p>
        </w:tc>
        <w:tc>
          <w:tcPr>
            <w:tcW w:type="dxa" w:w="308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Near-prime borrowers are stretched — disciplined underwriting and verification matter more than ever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Record delinquency</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Subprime 60-plus-day delinquency hit a multi-decade high in 2025</w:t>
            </w:r>
          </w:p>
        </w:tc>
        <w:tc>
          <w:tcPr>
            <w:tcW w:type="dxa" w:w="308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VIA’s prime / near-prime focus is the safer side — but the funding CU’s return depends on clean credit and fraud control</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Consolidation &amp; retrenchment</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Competitors pulled back or failed (Prestige, Truist, the Tricolor collapse)</w:t>
            </w:r>
          </w:p>
        </w:tc>
        <w:tc>
          <w:tcPr>
            <w:tcW w:type="dxa" w:w="308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 relationships are up for grabs — a direct case for dealer-acquisition account intelligence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credit-union channel wins</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Credit unions are the #1 auto originator by units; the channel competes on speed, not rate</w:t>
            </w:r>
          </w:p>
        </w:tc>
        <w:tc>
          <w:tcPr>
            <w:tcW w:type="dxa" w:w="308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VIA’s exact lane is winning — the constraint is operational friction, which AI removes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Fintech encroachment</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lenders compress deal time 50–70% and reset dealer expectations</w:t>
            </w:r>
          </w:p>
        </w:tc>
        <w:tc>
          <w:tcPr>
            <w:tcW w:type="dxa" w:w="308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Dealers increasingly expect instant, document-light decisions — VIA has to match the bar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Fraud at record exposure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Industry fraud exposure reached an estimated $10.4 billion; income misrepresentation is the largest share</w:t>
            </w:r>
          </w:p>
        </w:tc>
        <w:tc>
          <w:tcPr>
            <w:tcW w:type="dxa" w:w="308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Fraud and synthetic-identity screening directly protect the credit union’s return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Regulatory Frame — Burden and Constraint</w:t>
      </w:r>
    </w:p>
    <w:p>
      <w:pPr>
        <w:spacing w:after="140" w:before="0" w:line="320"/>
        <w:jc w:val="both"/>
      </w:pPr>
      <w:r>
        <w:rPr>
          <w:rFonts w:ascii="Open Sans" w:cs="Open Sans" w:eastAsia="Open Sans" w:hAnsi="Open Sans"/>
          <w:b w:val="false"/>
          <w:bCs w:val="false"/>
          <w:i w:val="false"/>
          <w:iCs w:val="false"/>
          <w:color w:val="59595B"/>
          <w:sz w:val="22"/>
          <w:szCs w:val="22"/>
        </w:rPr>
        <w:t xml:space="preserve">Lending is heavily regulated, and a lender will judge a technology partner on regulatory fluency. Most of the load is recurring, rules-based documentation that AI automates well — but one area, credit underwriting, is where AI must be handled carefully.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931"/>
        <w:gridCol w:w="3183"/>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Regulation</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Recurring Burden</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Angle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ECOA / Reg B</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Specific, accurate adverse-action reasons on every denial; fair lending</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Auto-generate compliant reason codes — only with an explainable model (see below)</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TILA / Reg Z</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Accurate APR and finance-charge disclosures on every contract</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 generation with automated disclosure validation and audit trail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FCRA</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Permissible purpose, risk-based-pricing and adverse-action notices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accurate notice generation and dispute handling</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GLBA + FTC Safeguards Rule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written information-security program; 30-day breach notification</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Security monitoring, access controls, incident detection — Technijian’s core security lane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SCRA / Military Lending Act</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Active-duty rate caps and repossession protections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military-status checks and rate / repo guardrails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 licensing &amp; rate caps</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45-state-plus patchwork of rate and term limits</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geo-aware rate-and-term rules engine with audit logging</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Constraint We Lead With: Explainable, Never a Black Box</w:t>
            </w:r>
          </w:p>
          <w:p>
            <w:pPr>
              <w:keepNext/>
              <w:keepLines/>
              <w:spacing w:after="60" w:before="40" w:line="300"/>
            </w:pPr>
            <w:r>
              <w:rPr>
                <w:rFonts w:ascii="Open Sans" w:cs="Open Sans" w:eastAsia="Open Sans" w:hAnsi="Open Sans"/>
                <w:color w:val="59595B"/>
                <w:sz w:val="20"/>
                <w:szCs w:val="20"/>
              </w:rPr>
              <w:t xml:space="preserve">Any AI that touches a credit decision must be explainable and adverse-action-ready. ECOA and Reg B require specific, accurate reasons for a denial — and regulators have been explicit that a model being "too complex or novel" is not an excuse.</w:t>
            </w:r>
          </w:p>
          <w:p>
            <w:pPr>
              <w:keepNext/>
              <w:keepLines/>
              <w:spacing w:after="60" w:before="40" w:line="300"/>
            </w:pPr>
            <w:r>
              <w:rPr>
                <w:rFonts w:ascii="Open Sans" w:cs="Open Sans" w:eastAsia="Open Sans" w:hAnsi="Open Sans"/>
                <w:color w:val="59595B"/>
                <w:sz w:val="20"/>
                <w:szCs w:val="20"/>
              </w:rPr>
              <w:t xml:space="preserve">Fair-lending exposure is narrowing federally but is not gone: the statute still applies, and state attorneys general are actively enforcing — one settled a fair-lending action over an AI underwriting model in 2025.</w:t>
            </w:r>
          </w:p>
          <w:p>
            <w:pPr>
              <w:keepNext w:val="false"/>
              <w:keepLines/>
              <w:spacing w:after="60" w:before="40" w:line="300"/>
            </w:pPr>
            <w:r>
              <w:rPr>
                <w:rFonts w:ascii="Open Sans" w:cs="Open Sans" w:eastAsia="Open Sans" w:hAnsi="Open Sans"/>
                <w:color w:val="59595B"/>
                <w:sz w:val="20"/>
                <w:szCs w:val="20"/>
              </w:rPr>
              <w:t xml:space="preserve">So we lead with the constraint: Technijian deploys explainable, documented, bias-tested models — or automates the verification and compliance layer around VIA’s existing scorecards — so VIA gets the speed and return upside without un-defendable risk.</w:t>
            </w:r>
          </w:p>
        </w:tc>
      </w:tr>
    </w:tbl>
    <w:p>
      <w:pPr>
        <w:pStyle w:val="Heading1"/>
        <w:keepNext/>
        <w:pageBreakBefore/>
        <w:spacing w:after="120" w:before="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growth equation points to a finite, nameable set of accounts — which is why this is an account-based program, not a marketing campaign. VIA’s next dollar comes from four pools, and the field team already knows most of the names. The job of AI is to find the right ones faster, win them with a better experience, and free the team to cover twenty states instead of five.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9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VIA Captures It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Net-new dealers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Franchised and independent rooftops not yet sending VIA deals, especially in expansion states</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ranks targets by volume and credit mix; triggers flag competitor exits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Deeper share at existing dealers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Dealers already on board who send only a fraction of their near-prime deals</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funding and instant decisions lift capture — the lender that funds fastest gets the next deal</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CU partners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Other credit unions that want indirect-auto growth but lack the engine</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proven, modern, compliant platform story plus the data to prove return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Geographic expansion</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move from five states toward twenty-plus</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and a modern submission experience let a finite team cover far more ground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Account-Based by Design — No Consumer Marketing</w:t>
            </w:r>
          </w:p>
          <w:p>
            <w:pPr>
              <w:keepNext/>
              <w:keepLines/>
              <w:spacing w:after="60" w:before="40" w:line="300"/>
            </w:pPr>
            <w:r>
              <w:rPr>
                <w:rFonts w:ascii="Open Sans" w:cs="Open Sans" w:eastAsia="Open Sans" w:hAnsi="Open Sans"/>
                <w:color w:val="59595B"/>
                <w:sz w:val="20"/>
                <w:szCs w:val="20"/>
              </w:rPr>
              <w:t xml:space="preserve">VIA does not transact with consumers; the borrower comes through the dealer and becomes a credit-union member. So this program is aimed entirely at named dealers and credit-union partners — not a broad consumer funnel, and not refinance marketing.</w:t>
            </w:r>
          </w:p>
          <w:p>
            <w:pPr>
              <w:keepNext/>
              <w:keepLines/>
              <w:spacing w:after="60" w:before="40" w:line="300"/>
            </w:pPr>
            <w:r>
              <w:rPr>
                <w:rFonts w:ascii="Open Sans" w:cs="Open Sans" w:eastAsia="Open Sans" w:hAnsi="Open Sans"/>
                <w:color w:val="59595B"/>
                <w:sz w:val="20"/>
                <w:szCs w:val="20"/>
              </w:rPr>
              <w:t xml:space="preserve">That is the honest framing: VIA already knows who its targets are. The value of AI is depth, speed, and timing on those named accounts, and the reach to pursue more of them across the expansion.</w:t>
            </w:r>
          </w:p>
          <w:p>
            <w:pPr>
              <w:keepNext w:val="false"/>
              <w:keepLines/>
              <w:spacing w:after="60" w:before="40" w:line="300"/>
            </w:pPr>
            <w:r>
              <w:rPr>
                <w:rFonts w:ascii="Open Sans" w:cs="Open Sans" w:eastAsia="Open Sans" w:hAnsi="Open Sans"/>
                <w:color w:val="59595B"/>
                <w:sz w:val="20"/>
                <w:szCs w:val="20"/>
              </w:rPr>
              <w:t xml:space="preserve">It also means the field-sales relationship stays central. AI surfaces and arms; the rep and the credit union’s risk team still close and fund the business.</w:t>
            </w:r>
          </w:p>
        </w:tc>
      </w:tr>
    </w:tbl>
    <w:p>
      <w:pPr>
        <w:pStyle w:val="Heading1"/>
        <w:keepNext/>
        <w:pageBreakBefore/>
        <w:spacing w:after="120" w:before="0" w:line="240"/>
      </w:pPr>
      <w:r>
        <w:rPr>
          <w:rFonts w:ascii="Open Sans" w:cs="Open Sans" w:eastAsia="Open Sans" w:hAnsi="Open Sans"/>
          <w:color w:val="FFFFFF"/>
          <w:sz w:val="2"/>
          <w:szCs w:val="2"/>
        </w:rPr>
        <w:t xml:space="preserve">06  The VIA Customer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VIA Customer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VIA’s accounts span two sides: the dealers that source the paper and the credit union that funds it. The end borrower matters — their credit quality and experience protect the program — but they are reached through the dealer, not marketed to directly. The cards below profile the buyers and stakeholders that a growth program has to win, and the matrix places each by origination-volume potential and strategic value to the CUSO.</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Multi-Rooftop Dealer Group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finance director or principal across several dealership rooftops — the highest-volume accounts VIA can win.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consistent, fast funding across every store; juggles many lenders; a slow lender quietly loses the group’s deals.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Speed and consistency across all rooftops, and a near-prime partner that funds clean deals without drama.</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flags these groups as top targets; instant decisions and fast stip clearing make VIA the easy default.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prioritize and win multi-rooftop groups. My Dev — instant-decision portal and integration.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Franchised / Independent Dealer Principal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owner or general manager who decides which lenders the store sends its near-prime deals to.</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Loses customers when a lender is slow or says no; wants a dependable near-prime "yes" with workable structures.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lender that approves more near-prime deals, funds fast, and is genuinely easy to work with.</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Dealer-facing authority content and a fast, modern submission experience win and hold the relationship.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dealer-facing authority content. My Dev — dealer portal plus RouteOne / Dealertrack integration.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F&amp;I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Runs the finance desk; submits deals and structures financing with the customer sitting across the desk.</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Manual stip chasing, slow decisions, and re-submissions — every minute of delay risks losing the sale.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Instant decisions, multiple structures per approval, and stipulations cleared in seconds, not days.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Verification automation clears documents in seconds and an instant-decision experience keeps the deal moving.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document / income verification and the instant-decision portal experience.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Independent Used-Car Dealer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smaller independent rooftop — opportunistic volume, often underserved by the bigger lenders.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reliable near-prime coverage and a lender that actually shows up for a smaller store.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Dependability — a lender that funds reliably and treats a small dealer like it matters.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finds and prioritizes the independents worth recruiting in each new state.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territory-level dealer discovery and prioritization.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Funding Side &amp; The Scale Lever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Funding Credit Union (American Heritage)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credit union that funds, books, and services every loan — the relationship that makes the CUSO work.</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return, clean credit quality, member growth, and airtight compliance to justify growing the program.</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Originations that are fast, well-underwritten, fraud-screened, and fully compliant — so the program is worth expanding.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Fraud screening, explainable underwriting, and portfolio early-warning protect return and credit quality — which grows capacity and brings on more partners.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fraud detection, explainable decisioning, portfolio analytics. My Security — GLBA compliance.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Prospective CU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Other credit unions VIA wants to recruit onto the CUSO platform — the lever that scales toward twenty-plus states.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 to grow indirect auto and membership but lack the dealer network, the origination engine, and the technology.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proven, turnkey, compliant platform with a track record — the $350 million and ten-thousand-member proof.</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credible, modern, compliant platform story — with the data to prove return — is what recruits the next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the platform credibility story. My AI and My Security — the analytics and compliance that de-risk a new partner.</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each account by origination-volume potential and strategic value to the CUSO — showing which are the anchor accounts, which are the strategic scale levers, and which represent recurring volume.</w:t>
      </w:r>
    </w:p>
    <w:p>
      <w:pPr>
        <w:spacing w:after="0" w:before="60"/>
      </w:pPr>
      <w:r>
        <w:t xml:space="preserve"/>
      </w:r>
    </w:p>
    <w:p>
      <w:pPr>
        <w:spacing w:after="80" w:before="120"/>
        <w:jc w:val="center"/>
      </w:pPr>
      <w:r>
        <w:drawing>
          <wp:inline distT="0" distB="0" distL="0" distR="0">
            <wp:extent cx="5524500" cy="3686175"/>
            <wp:effectExtent t="0" r="0" b="0" l="0"/>
            <wp:docPr id="1" name="VIA Account Matrix" descr="VIA Account Matrix" title="VIA Accou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VIA Accounts: Origination Volume Potential vs. Strategic Value to the CUSO</w:t>
      </w:r>
    </w:p>
    <w:p>
      <w:pPr>
        <w:pStyle w:val="Heading1"/>
        <w:keepNext/>
        <w:pageBreakBefore/>
        <w:spacing w:after="120" w:before="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VIA competes against three kinds of rival: the near-prime independents and credit-union platforms in its own lane, the deep-subprime independents that show what scale and operational AI look like, and the AI-native players that set the modern bar for decisioning. The pattern across all of them is the opportunity — none pairs VIA’s credit-union funding advantage with genuine AI-driven funding speed.</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8"/>
        <w:gridCol w:w="3052"/>
        <w:gridCol w:w="4070"/>
      </w:tblGrid>
      <w:tr>
        <w:trPr>
          <w:cantSplit/>
          <w:tblHeader/>
        </w:trPr>
        <w:tc>
          <w:tcPr>
            <w:tcW w:type="dxa" w:w="223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Lane</w:t>
            </w:r>
          </w:p>
        </w:tc>
        <w:tc>
          <w:tcPr>
            <w:tcW w:type="dxa" w:w="40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VIA</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Open Lending</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decisioning + default-insurance platform for banks &amp; credit unions</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closest channel analog — powers CU-funded near-prime decisioning; the standard VIA’s funding CU will expect VIA to match</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Upstart</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underwriting marketplace; loans originated by bank / CU partners</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model benchmark — instant, document-light, fair-lending-aware decisioning</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Global Lending Services</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Near-prime / subprime indirect, PE-backed, fast-growing</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dealer-facing instant decisioning and real-time deal structuring — a direct experience comparison</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Westlake Financial</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Full-spectrum independent; the largest privately held</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operational-AI benchmark — automates ~70% of loan documents and funds in under an hour</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Lobel Financial</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Anaheim, CA — all-tier indirect; a local neighbor</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Already runs a dealer portal with instant approvals and Dealertrack / RouteOne integration — the table-stakes bar</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Consumer Portfolio Services</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CA subprime; a local public lender</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same-size-class AI adopter (automated income / stipulation clearing) — proof the playbook works</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Veros Credit</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Santa Ana, CA near-/sub-prime; a neighbor</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Recently took outside investment specifically to upgrade its technology — a peer that just admitted it must modernize</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Exeter Finance</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subprime independent; branch-based</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and PE backing, but a relationship / branch model that is less automated — beatable on speed</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Funding &amp; Automation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dealer share — cost of capital and funding speed — the picture is clear, and it shows VIA holding the one advantage that is hardest to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733"/>
        <w:gridCol w:w="1733"/>
        <w:gridCol w:w="1560"/>
        <w:gridCol w:w="2254"/>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7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Funding-Cost Edge</w:t>
            </w:r>
          </w:p>
        </w:tc>
        <w:tc>
          <w:tcPr>
            <w:tcW w:type="dxa" w:w="17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Instant Decisioning</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AI / Automation</w:t>
            </w:r>
          </w:p>
        </w:tc>
        <w:tc>
          <w:tcPr>
            <w:tcW w:type="dxa" w:w="225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Open Lending / Upstart</w:t>
            </w:r>
          </w:p>
        </w:tc>
        <w:tc>
          <w:tcPr>
            <w:tcW w:type="dxa" w:w="17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Medium</w:t>
            </w:r>
          </w:p>
        </w:tc>
        <w:tc>
          <w:tcPr>
            <w:tcW w:type="dxa" w:w="17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Yes</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Native</w:t>
            </w:r>
          </w:p>
        </w:tc>
        <w:tc>
          <w:tcPr>
            <w:tcW w:type="dxa" w:w="22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AI-native benchmark</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Westlake</w:t>
            </w:r>
          </w:p>
        </w:tc>
        <w:tc>
          <w:tcPr>
            <w:tcW w:type="dxa" w:w="17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Medium</w:t>
            </w:r>
          </w:p>
        </w:tc>
        <w:tc>
          <w:tcPr>
            <w:tcW w:type="dxa" w:w="17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Yes</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22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Operational-AI leader</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Global Lending / Lobel</w:t>
            </w:r>
          </w:p>
        </w:tc>
        <w:tc>
          <w:tcPr>
            <w:tcW w:type="dxa" w:w="17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Medium</w:t>
            </w:r>
          </w:p>
        </w:tc>
        <w:tc>
          <w:tcPr>
            <w:tcW w:type="dxa" w:w="17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Yes</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Some</w:t>
            </w:r>
          </w:p>
        </w:tc>
        <w:tc>
          <w:tcPr>
            <w:tcW w:type="dxa" w:w="22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dealer UX</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Veros / Exeter</w:t>
            </w:r>
          </w:p>
        </w:tc>
        <w:tc>
          <w:tcPr>
            <w:tcW w:type="dxa" w:w="17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Low–Med</w:t>
            </w:r>
          </w:p>
        </w:tc>
        <w:tc>
          <w:tcPr>
            <w:tcW w:type="dxa" w:w="17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Partial</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Upgrading</w:t>
            </w:r>
          </w:p>
        </w:tc>
        <w:tc>
          <w:tcPr>
            <w:tcW w:type="dxa" w:w="22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Modernizing / laggard</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VIA (today)</w:t>
            </w:r>
          </w:p>
        </w:tc>
        <w:tc>
          <w:tcPr>
            <w:tcW w:type="dxa" w:w="17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High</w:t>
            </w:r>
          </w:p>
        </w:tc>
        <w:tc>
          <w:tcPr>
            <w:tcW w:type="dxa" w:w="17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Manual</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22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Funding moat, manual ops</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on those two axes. VIA sits where no rival does — the strongest funding-cost position, but below the field on automation. The move is straight up: keep the funding moat, add the AI funding-speed.</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 Funding-Cost Advantage vs. Origination Speed &amp; AI" descr="Competitive Positioning — Funding-Cost Advantage vs. Origination Speed &amp; AI" title="Competitive Positioning — Funding-Cost Advantage vs. Origination Speed &amp;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Funding-Cost Advantage vs. Origination Speed &amp; AI Automation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VIA Wins — The White Space</w:t>
            </w:r>
          </w:p>
          <w:p>
            <w:pPr>
              <w:keepNext/>
              <w:keepLines/>
              <w:spacing w:after="60" w:before="40" w:line="300"/>
            </w:pPr>
            <w:r>
              <w:rPr>
                <w:rFonts w:ascii="Open Sans" w:cs="Open Sans" w:eastAsia="Open Sans" w:hAnsi="Open Sans"/>
                <w:color w:val="59595B"/>
                <w:sz w:val="20"/>
                <w:szCs w:val="20"/>
              </w:rPr>
              <w:t xml:space="preserve">The top-right corner — a funding-cost moat paired with AI-driven funding speed — is empty. The AI-native players do not have VIA’s deposit funding; the funded independents do not have VIA’s cost of capital. VIA can hold a corner neither can reach.</w:t>
            </w:r>
          </w:p>
          <w:p>
            <w:pPr>
              <w:keepNext/>
              <w:keepLines/>
              <w:spacing w:after="60" w:before="40" w:line="300"/>
            </w:pPr>
            <w:r>
              <w:rPr>
                <w:rFonts w:ascii="Open Sans" w:cs="Open Sans" w:eastAsia="Open Sans" w:hAnsi="Open Sans"/>
                <w:color w:val="59595B"/>
                <w:sz w:val="20"/>
                <w:szCs w:val="20"/>
              </w:rPr>
              <w:t xml:space="preserve">Operational friction is the real constraint on indirect growth — and it is exactly what document verification and instant decisioning remove. The lender that funds fastest and cleanest gets the next deal.</w:t>
            </w:r>
          </w:p>
          <w:p>
            <w:pPr>
              <w:keepNext w:val="false"/>
              <w:keepLines/>
              <w:spacing w:after="60" w:before="40" w:line="300"/>
            </w:pPr>
            <w:r>
              <w:rPr>
                <w:rFonts w:ascii="Open Sans" w:cs="Open Sans" w:eastAsia="Open Sans" w:hAnsi="Open Sans"/>
                <w:color w:val="59595B"/>
                <w:sz w:val="20"/>
                <w:szCs w:val="20"/>
              </w:rPr>
              <w:t xml:space="preserve">Dealer relationships are up for grabs as competitors retrench, and account intelligence captures them. Meanwhile two local neighbors — Lobel with a dealer portal and CPS with automation — show the bar VIA can clear and exceed.</w:t>
            </w:r>
          </w:p>
        </w:tc>
      </w:tr>
    </w:tbl>
    <w:p>
      <w:pPr>
        <w:pStyle w:val="Heading1"/>
        <w:keepNext/>
        <w:pageBreakBefore/>
        <w:spacing w:after="120" w:before="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CUSO that has originated more than $350 million and created ten thousand members, the digital presence materially under-represents the operation — and that matters when the audiences VIA needs to impress are dealers deciding where to send deals and credit unions deciding whether to partner.</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small, dated brochure site (Home / About / For Dealers / Why Partner / For Borrowers)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Thin content and an aging build undercut credibility with dealers and prospective CU partners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 portal</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public dealer-portal login or self-serve submission shown</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modern, instant-decision submission experience — the single clearest gap versus Lobel and GLS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Lender integrations</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stated RouteOne / Dealertrack / CUDL integration</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Table stakes for indirect lending — dealers expect to submit where they already work</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 SEO</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blog, resource center, or dealer-facing authority content</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Nothing that earns dealer trust or tells the "why a CU-backed lender" story before a rep ever calls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in the workflow</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evident</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Decisioning and verification appear manual — the gap this blueprint is built to close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 presence</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Light social footprint for the size; borrower experience runs on the credit union’s portal</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platform proof (originations, members, return) is barely told — the recruiting story is left on the table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a strong, proven operation look and work as modern as it actually is.</w:t>
            </w:r>
          </w:p>
          <w:p>
            <w:pPr>
              <w:keepNext/>
              <w:keepLines/>
              <w:spacing w:after="60" w:before="40" w:line="300"/>
            </w:pPr>
            <w:r>
              <w:rPr>
                <w:rFonts w:ascii="Open Sans" w:cs="Open Sans" w:eastAsia="Open Sans" w:hAnsi="Open Sans"/>
                <w:color w:val="59595B"/>
                <w:sz w:val="20"/>
                <w:szCs w:val="20"/>
              </w:rPr>
              <w:t xml:space="preserve">A refreshed site, a dealer-enrollment experience, and dealer-facing authority content are low-cost, compounding moves that lift credibility with both dealers and CU partners.</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fix the foundation and the story, then build the funding-speed engine on top of it.</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VIA does not market to consumers, but its two real audiences — dealers vetting where to send paper, and credit unions evaluating CUSO partners — increasingly start with an AI assistant. Here is the gap made concrete. When a dealer-development manager or a CU executive asks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"Which credit-union-backed indirect auto lenders should an independent dealer or a credit union partner with?"</w:t>
            </w:r>
          </w:p>
          <w:p>
            <w:pPr>
              <w:keepNext/>
              <w:keepLines/>
              <w:spacing w:after="60" w:before="40" w:line="300"/>
            </w:pPr>
            <w:r>
              <w:rPr>
                <w:rFonts w:ascii="Open Sans" w:cs="Open Sans" w:eastAsia="Open Sans" w:hAnsi="Open Sans"/>
                <w:color w:val="59595B"/>
                <w:sz w:val="20"/>
                <w:szCs w:val="20"/>
              </w:rPr>
              <w:t xml:space="preserve">TODAY — the AI assistant answers with whichever lenders and CUSO platforms have the strongest content and third-party signals it can read: it names the established CUSO platforms and a couple of national independents, and does NOT mention VIA Auto Finance — even though VIA has a genuine credit-union funding moat and a $350M / 10,000-member track record. VIA is invisible at the exact moment a dealer or a prospective CU partner is forming a shortlist.</w:t>
            </w:r>
          </w:p>
          <w:p>
            <w:pPr>
              <w:keepNext w:val="false"/>
              <w:keepLines/>
              <w:spacing w:after="60" w:before="40" w:line="300"/>
            </w:pPr>
            <w:r>
              <w:rPr>
                <w:rFonts w:ascii="Open Sans" w:cs="Open Sans" w:eastAsia="Open Sans" w:hAnsi="Open Sans"/>
                <w:color w:val="59595B"/>
                <w:sz w:val="20"/>
                <w:szCs w:val="20"/>
              </w:rPr>
              <w:t xml:space="preserve">AFTER A DEALER-AUTHORITY + GEO LAYER — the same query returns VIA as a cited option ("VIA Auto Finance is a credit-union-backed CUSO originating prime and near-prime indirect auto loans, with a structural deposit-funding cost advantage…"), with the modernized site and dealer-authority content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would be captured as part of the digital baseline. This is a dealer- and partner-facing visibility play, not consumer marketing — VIA does not transact with consumers.)</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The window favors VIA right now, and it does not stay open. Competitors are retrenching — Prestige stopped new originations, Truist pulled back, Tricolor collapsed — and the dealer relationships they are abandoning are up for grabs this quarter for a disciplined lender that can move. Every month VIA stays manual, a faster rival funds the deal VIA could have won, and a default forms at that dealer that is harder and more expensive to dislodge later than to claim now. The credit-union channel is winning on speed and consistency, not rate; the lenders that pair a funding advantage with AI funding-speed first will set the bar the rest are measured against. The cost of waiting is not zero — it is dealer share, and the partner credit union’s confidence, going to whoever modernizes first.</w:t>
      </w:r>
    </w:p>
    <w:p>
      <w:pPr>
        <w:pStyle w:val="Heading1"/>
        <w:keepNext/>
        <w:pageBreakBefore/>
        <w:spacing w:after="120" w:before="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VIA would engage. Each is labeled for what it is, and each maps to a specific VIA use case. Where AI touches a credit decision, it is explainable by design.</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complex vendor questionnaires for FINRA-registered broker-dealers, cutting response time from days to minutes with 60–80% less manual review.</w:t>
            </w:r>
          </w:p>
          <w:p>
            <w:pPr>
              <w:spacing w:after="60"/>
            </w:pPr>
            <w:r>
              <w:rPr>
                <w:rFonts w:ascii="Open Sans" w:cs="Open Sans" w:eastAsia="Open Sans" w:hAnsi="Open Sans"/>
                <w:b/>
                <w:bCs/>
                <w:color w:val="F67D4B"/>
                <w:sz w:val="20"/>
                <w:szCs w:val="20"/>
              </w:rPr>
              <w:t xml:space="preserve">How This Applies to VIA Auto Finance: </w:t>
            </w:r>
            <w:r>
              <w:rPr>
                <w:rFonts w:ascii="Open Sans" w:cs="Open Sans" w:eastAsia="Open Sans" w:hAnsi="Open Sans"/>
                <w:color w:val="59595B"/>
                <w:sz w:val="20"/>
                <w:szCs w:val="20"/>
              </w:rPr>
              <w:t xml:space="preserve">Pointed at the funding workflow, the same approach clears stipulations and verifies income and employment in seconds instead of days — the funding speed that wins dealers and removes the operational friction limiting indirect growth.</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AI Detection Product</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an AI scam-detection product, using a three-model LLM Council (Claude, GPT-4o, and Gemini), risk scoring, and persistent memory — a multi-model design that cross-checks each conclusion instead of relying on one opaque score.</w:t>
            </w:r>
          </w:p>
          <w:p>
            <w:pPr>
              <w:spacing w:after="60"/>
            </w:pPr>
            <w:r>
              <w:rPr>
                <w:rFonts w:ascii="Open Sans" w:cs="Open Sans" w:eastAsia="Open Sans" w:hAnsi="Open Sans"/>
                <w:b/>
                <w:bCs/>
                <w:color w:val="F67D4B"/>
                <w:sz w:val="20"/>
                <w:szCs w:val="20"/>
              </w:rPr>
              <w:t xml:space="preserve">How This Applies to VIA Auto Finance: </w:t>
            </w:r>
            <w:r>
              <w:rPr>
                <w:rFonts w:ascii="Open Sans" w:cs="Open Sans" w:eastAsia="Open Sans" w:hAnsi="Open Sans"/>
                <w:color w:val="59595B"/>
                <w:sz w:val="20"/>
                <w:szCs w:val="20"/>
              </w:rPr>
              <w:t xml:space="preserve">That cross-checked, multi-model approach is the model for two VIA needs: screening applications for income misrepresentation and synthetic identities before funding, and keeping decisioning explainable so adverse-action reasons stay accurate and fair-lending review is defensible.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VIA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Account-Based Outbound</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outbound service — it harvests high-fit targets from public data, enriches and scores them, and delivers outreach-ready, personalized sequences, replacing the data-subscription tax of tools like ZoomInfo and Apollo.</w:t>
            </w:r>
          </w:p>
          <w:p>
            <w:pPr>
              <w:spacing w:after="60"/>
            </w:pPr>
            <w:r>
              <w:rPr>
                <w:rFonts w:ascii="Open Sans" w:cs="Open Sans" w:eastAsia="Open Sans" w:hAnsi="Open Sans"/>
                <w:b/>
                <w:bCs/>
                <w:color w:val="F67D4B"/>
                <w:sz w:val="20"/>
                <w:szCs w:val="20"/>
              </w:rPr>
              <w:t xml:space="preserve">How This Applies to VIA Auto Finance: </w:t>
            </w:r>
            <w:r>
              <w:rPr>
                <w:rFonts w:ascii="Open Sans" w:cs="Open Sans" w:eastAsia="Open Sans" w:hAnsi="Open Sans"/>
                <w:color w:val="59595B"/>
                <w:sz w:val="20"/>
                <w:szCs w:val="20"/>
              </w:rPr>
              <w:t xml:space="preserve">For dealer acquisition it builds the ranked list of franchised and independent rooftops worth recruiting in each expansion state, flags dealers losing a lender as competitors retrench, and arms the field team with a per-dealer dossier — depth on named accounts, not a broad blast.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that integrates Claude Code, Figma Make, GitHub, and CI/CD to ship portals, dashboards, and integrations around a client’s actual process.</w:t>
            </w:r>
          </w:p>
          <w:p>
            <w:pPr>
              <w:spacing w:after="60"/>
            </w:pPr>
            <w:r>
              <w:rPr>
                <w:rFonts w:ascii="Open Sans" w:cs="Open Sans" w:eastAsia="Open Sans" w:hAnsi="Open Sans"/>
                <w:b/>
                <w:bCs/>
                <w:color w:val="F67D4B"/>
                <w:sz w:val="20"/>
                <w:szCs w:val="20"/>
              </w:rPr>
              <w:t xml:space="preserve">How This Applies to VIA Auto Finance: </w:t>
            </w:r>
            <w:r>
              <w:rPr>
                <w:rFonts w:ascii="Open Sans" w:cs="Open Sans" w:eastAsia="Open Sans" w:hAnsi="Open Sans"/>
                <w:color w:val="59595B"/>
                <w:sz w:val="20"/>
                <w:szCs w:val="20"/>
              </w:rPr>
              <w:t xml:space="preserve">This builds the dealer-facing layer: a modern dealer portal with instant decisions and funding status, RouteOne and Dealertrack integration so dealers submit where they already work, and the verification and fraud-screening workflow behind it.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Security — Security &amp; Compliance, Built In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Security is Technijian’s managed security service: every system is designed security-first, with role-based access, audit trails, and HIPAA, SOC 2, PCI-DSS, and GDPR-aligned controls built in rather than bolted on.</w:t>
            </w:r>
          </w:p>
          <w:p>
            <w:pPr>
              <w:spacing w:after="60"/>
            </w:pPr>
            <w:r>
              <w:rPr>
                <w:rFonts w:ascii="Open Sans" w:cs="Open Sans" w:eastAsia="Open Sans" w:hAnsi="Open Sans"/>
                <w:b/>
                <w:bCs/>
                <w:color w:val="F67D4B"/>
                <w:sz w:val="20"/>
                <w:szCs w:val="20"/>
              </w:rPr>
              <w:t xml:space="preserve">How This Applies to VIA Auto Finance: </w:t>
            </w:r>
            <w:r>
              <w:rPr>
                <w:rFonts w:ascii="Open Sans" w:cs="Open Sans" w:eastAsia="Open Sans" w:hAnsi="Open Sans"/>
                <w:color w:val="59595B"/>
                <w:sz w:val="20"/>
                <w:szCs w:val="20"/>
              </w:rPr>
              <w:t xml:space="preserve">For VIA this delivers the GLBA Safeguards information-security program the law requires, plus the audit trails and fair-lending monitoring that make AI-assisted underwriting deployable — the low-friction entry point that also de-risks the next credit-union partner.</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dealer intelligence, verification, fraud screening, and compliance: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adverse-action / fair-lending review, the deepest reasoning on borderline decisions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dealer outreach personalization, document summarization, scoring borderline cases</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document extraction, classification, enriching and tagging thousands of dealer and applicant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VIA pays premium-model prices only for the small slice of work that warrants them — typically a 60–80% lower run cost than routing everything to one top-tier model, with no quality loss where it counts. For example, a single stipulation packet is extracted by a low-cost model, verified and reconciled by a mid model, and given a final compliance-and-accuracy pass by a frontier model with council review on the parts that touch a credit decision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VIA Auto Finance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VIA Auto Finance Leadership</w:t>
            </w:r>
          </w:p>
        </w:tc>
      </w:tr>
    </w:tbl>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VIA sits today, how to adopt it without taking on un-defendable risk, and what comparable organizations are already doing. The goal is that Bob Barbee and the VIA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"extract the income and employment fields from these stips and flag what is missing." This is where almost all near-term value lives — and where an explainable, auditable result is straightforward.</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dealer pipeline and surface the rooftops worth a call this week." This comes later, where it earns its place, with a person still owning the decision.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VIA starts with simple automations that pay off in the first 90 days — verification, fraud screening, dealer intelligence — and adds autonomous agents only where the value is proven. That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VIA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companies — including VIA — sit at the first or second rung of a widely-used five-stage AI maturity model (consistent with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VIA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decisioning, verification, and dealer outreach</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 modern, disciplined operation that has not yet woven AI into growth or the funding workflow — the moat is real, the operations are manual</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verification, fraud screening, dealer intelligence, adverse-action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the funding engine with governance, fair-lending monitoring,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lender competes for dealer share and protects the funding partner’s return</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VIA sits at the Emerging stage: a proven CUSO with a structural funding moat, but a largely manual funding workflow. This report is the plan to reach Operational — AI working in the growth engine and inside the funding process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regulated lender like VIA,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client-facing or compliance-bound — AI drafts and screens, the rep and the credit union’s risk team approve the decision</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borrower and applicant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applicant PII, credit data, and decisioning never touch a public model; GLBA Safeguards controls around every workflow</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and un-explainable models, create audit and fair-lending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Explainable, adverse-action-ready models only; every AI tool inventoried with owner, vendor, and data source — ECOA-defensible,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Auto lending operations: full-spectrum and near-prime lenders are automating stipulation, income, and employment verification to clear the bulk of documents in seconds rather than days — funding faster and capturing deals slower competitors lose.</w:t>
      </w:r>
    </w:p>
    <w:p>
      <w:pPr>
        <w:pStyle w:val="ListParagraph"/>
        <w:numPr>
          <w:ilvl w:val="0"/>
          <w:numId w:val="2"/>
        </w:numPr>
        <w:spacing w:after="80" w:before="40" w:line="300"/>
      </w:pPr>
      <w:r>
        <w:rPr>
          <w:rFonts w:ascii="Open Sans" w:cs="Open Sans" w:eastAsia="Open Sans" w:hAnsi="Open Sans"/>
          <w:color w:val="59595B"/>
          <w:sz w:val="22"/>
          <w:szCs w:val="22"/>
        </w:rPr>
        <w:t xml:space="preserve">Credit-union indirect channel: CU-funded decisioning platforms are using AI to return instant, fair-lending-aware decisions at the dealer desk — the speed and consistency the channel now competes on.</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B2B: document-heavy, compliance-bound businesses are turning multi-day verification and notice-generation into a minutes-long, audit-ready draft — responding to more volume with the same team, with the records to prove it.</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VIA’s own numbers would be confirmed in discovery. Technijian’s specific, measured results from prior builds appear in Section 9 (Capability Proof) and the AI Growth Engine in Section 11.</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Dealer F&amp;I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customer is at the desk; the F&amp;I manager submits a near-prime deal, then waits — chasing stipulations by phone and email, re-keying the same income and employment details, and re-submitting when something is missing. A slow "yes" — or a slow stip clear — risks losing the sale to a faster lender.</w:t>
            </w:r>
          </w:p>
          <w:p>
            <w:pPr>
              <w:keepNext w:val="false"/>
              <w:keepLines/>
              <w:spacing w:after="60" w:before="40" w:line="300"/>
            </w:pPr>
            <w:r>
              <w:rPr>
                <w:rFonts w:ascii="Open Sans" w:cs="Open Sans" w:eastAsia="Open Sans" w:hAnsi="Open Sans"/>
                <w:color w:val="59595B"/>
                <w:sz w:val="20"/>
                <w:szCs w:val="20"/>
              </w:rPr>
              <w:t xml:space="preserve">WITH AI: The deal goes in through the dealer portal; verification clears income and employment in seconds, an instant decision returns workable structures, and fraud screening runs in the background — the manager keeps the customer moving. The funding credit union still owns the credit decision; AI clears the friction so VIA is the lender that funds fastest and cleanest.</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VIA assembles, secures, and governs everything — and owns the three risks above alone, including the fair-lending exposure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explainable-underwriting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fair-lending governance in one team at a fraction of a hire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Transforms VIA’s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Transforms VIA’s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win dealers (account-based acquisition), fund faster and safer (the speed and fraud control that lift capture and protect return), and protect and scale (the compliance and analytics that keep the credit union confident and bring on the next partner). The first motion grows the top of the funnel; the second converts it; the third makes the whole thing defensible and repeatable.</w:t>
      </w:r>
    </w:p>
    <w:p>
      <w:pPr>
        <w:spacing w:after="0" w:before="160"/>
      </w:pPr>
      <w:r>
        <w:t xml:space="preserve"/>
      </w:r>
    </w:p>
    <w:p>
      <w:pPr>
        <w:spacing w:after="80" w:before="120"/>
        <w:jc w:val="center"/>
      </w:pPr>
      <w:r>
        <w:drawing>
          <wp:inline distT="0" distB="0" distL="0" distR="0">
            <wp:extent cx="5715000" cy="3552825"/>
            <wp:effectExtent t="0" r="0" b="0" l="0"/>
            <wp:docPr id="1" name="VIA AI Growth Engine" descr="VIA AI Growth Engine" title="VIA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11.0 — The Engine: Win Dealers, Fund Faster &amp; Safer, and Protect &amp; Scale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1"/>
        <w:gridCol w:w="2207"/>
        <w:gridCol w:w="2649"/>
        <w:gridCol w:w="1501"/>
        <w:gridCol w:w="1502"/>
      </w:tblGrid>
      <w:tr>
        <w:trPr>
          <w:cantSplit/>
          <w:tblHeader/>
        </w:trPr>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0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64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5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Dealers</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 account intelligence</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Score and prioritize dealers to recruit by territory and credit mix</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Dealers added / mo</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Dealers</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Competitor-retrenchment triggers</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Alert when a dealer loses a lender — call that day</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Triggered calls</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Dealers</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Dealer-facing authority content</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B2B content that earns dealer trust before a rep calls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 inquiries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Dealers</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Field-rep enablement + CRM</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Pre-call dossiers and pipeline across the expansion</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 meetings</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 Faster</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Stip &amp; income verification</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Clear documents in seconds, not days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Time-to-fund</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 Faster</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Fraud &amp; synthetic-ID screening</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Catch misrepresentation before funding</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Fraud losses avoided</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 Faster</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 portal + instant decision</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Real-time structures and funding status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Look-to-book</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 Faster</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RouteOne / Dealertrack integration</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Meet dealers where they already submit</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Submission share</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Protect &amp; Scale</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Explainable decisioning + adverse action</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Accurate reason codes — never a black box</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Compliant notices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Protect &amp; Scale</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Fair-lending monitoring</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Ongoing disparate-impact testing and documentation</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Audit-readiness</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Protect &amp; Scale</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GLBA Safeguards / security</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required security program and monitoring</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Breach risk reduced</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Protect &amp; Scale</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CU-partner expansion + early-warning</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 credit unions; protect return with analytics</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CU partners</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Any AI that touches a credit decision stays explainable and adverse-action-ready — accurate reason codes on every decision, ongoing fair-lending testing, no protected-class proxies. We do not sell a black box; a model that cannot explain itself is a non-starter under ECOA, and we will not put VIA there.</w:t>
            </w:r>
          </w:p>
          <w:p>
            <w:pPr>
              <w:keepNext/>
              <w:keepLines/>
              <w:spacing w:after="60" w:before="40" w:line="300"/>
            </w:pPr>
            <w:r>
              <w:rPr>
                <w:rFonts w:ascii="Open Sans" w:cs="Open Sans" w:eastAsia="Open Sans" w:hAnsi="Open Sans"/>
                <w:color w:val="59595B"/>
                <w:sz w:val="20"/>
                <w:szCs w:val="20"/>
              </w:rPr>
              <w:t xml:space="preserve">AI surfaces the right dealers, clears the documents, and screens for fraud — but the field rep’s relationship and the credit union’s risk team still own the decision. AI supports them; it does not replace them.</w:t>
            </w:r>
          </w:p>
          <w:p>
            <w:pPr>
              <w:keepNext w:val="false"/>
              <w:keepLines/>
              <w:spacing w:after="60" w:before="40" w:line="300"/>
            </w:pPr>
            <w:r>
              <w:rPr>
                <w:rFonts w:ascii="Open Sans" w:cs="Open Sans" w:eastAsia="Open Sans" w:hAnsi="Open Sans"/>
                <w:color w:val="59595B"/>
                <w:sz w:val="20"/>
                <w:szCs w:val="20"/>
              </w:rPr>
              <w:t xml:space="preserve">That honesty is the point: VIA gets the funding-speed and return upside without taking on credit or compliance risk it cannot defend.</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model below is built from public and industry benchmarks because VIA’s internal numbers were not available for this draft. Every figure is estimated and conservative; the discovery questions in Section 15 replace them with real baselines. The logic holds across a wide range of inputs, because the levers — dealers won and funded volume per dealer — are large relative to the program cost.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4"/>
        <w:gridCol w:w="2339"/>
        <w:gridCol w:w="2339"/>
        <w:gridCol w:w="1758"/>
      </w:tblGrid>
      <w:tr>
        <w:trPr>
          <w:cantSplit/>
          <w:tblHeader/>
        </w:trPr>
        <w:tc>
          <w:tcPr>
            <w:tcW w:type="dxa" w:w="29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active dealers / quarter</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Field-team limited</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Account-intelligence-driven</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dealers</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Funded originations / month</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run-rate</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Accelerated capture</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Growth</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Time-to-fund (stip clearing)</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days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under an hour</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 wins dealers</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Documents auto-cleared</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Largely manual</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Majority automated</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freed</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Fraud caught before funding</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Predicted and screened</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Return protected</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Adverse-action / fair-lending</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and explainable</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Audit-ready</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Funding CU partners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 (American Heritage)</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recruiting pipeline</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CUSO scale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(Estimated, Conservative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active dealer relationships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+45</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Incremental funded originations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+$40M</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+$90M</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+$180M</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Illustrative VIA economics on incremental volume*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+$1.35M</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+$2.7M</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Technijian Program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~$188,000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~$188,000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~$188,000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3.2x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7.2x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14.4x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VIA’s CUSO economics (origination, servicing, and yield-share per loan) are not public, so the return line applies an illustrative, deliberately conservative ~1.5% of incremental originations as a placeholder — to be replaced with VIA’s actual per-loan economics in discovery. Beyond this, the program avoids fraud losses and protects the credit union’s return — the relationship that funds everything.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Lead-Gen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stands up VIA’s dealer account intelligence and the compliance foundation, and proves the lift before any larger build is discussed. It is the easy first move: the recurring services that pay for themselves fast, with no large up-front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47"/>
        <w:gridCol w:w="4571"/>
        <w:gridCol w:w="1742"/>
      </w:tblGrid>
      <w:tr>
        <w:trPr>
          <w:cantSplit/>
          <w:tblHeader/>
        </w:trPr>
        <w:tc>
          <w:tcPr>
            <w:tcW w:type="dxa" w:w="304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Included</w:t>
            </w:r>
          </w:p>
        </w:tc>
        <w:tc>
          <w:tcPr>
            <w:tcW w:type="dxa" w:w="45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174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0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Lead Gen — Dealer Account Intelligence</w:t>
            </w:r>
          </w:p>
        </w:tc>
        <w:tc>
          <w:tcPr>
            <w:tcW w:type="dxa" w:w="4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Named-dealer scoring and targeting, competitor-retrenchment triggers, and a rep CRM across the expansion (Professional tier)</w:t>
            </w:r>
          </w:p>
        </w:tc>
        <w:tc>
          <w:tcPr>
            <w:tcW w:type="dxa" w:w="17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$3,499/mo</w:t>
            </w:r>
          </w:p>
        </w:tc>
      </w:tr>
      <w:tr>
        <w:trPr>
          <w:cantSplit/>
        </w:trPr>
        <w:tc>
          <w:tcPr>
            <w:tcW w:type="dxa" w:w="30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Security — GLBA Safeguards Program</w:t>
            </w:r>
          </w:p>
        </w:tc>
        <w:tc>
          <w:tcPr>
            <w:tcW w:type="dxa" w:w="45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required information-security program and monitoring — the low-friction entry point</w:t>
            </w:r>
          </w:p>
        </w:tc>
        <w:tc>
          <w:tcPr>
            <w:tcW w:type="dxa" w:w="17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$1,200/mo</w:t>
            </w:r>
          </w:p>
        </w:tc>
      </w:tr>
      <w:tr>
        <w:trPr>
          <w:cantSplit/>
        </w:trPr>
        <w:tc>
          <w:tcPr>
            <w:tcW w:type="dxa" w:w="30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SEO — Dealer Authority Content + Site</w:t>
            </w:r>
          </w:p>
        </w:tc>
        <w:tc>
          <w:tcPr>
            <w:tcW w:type="dxa" w:w="4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Dealer-facing B2B authority content and a modernized, credibility-building site (not consumer SEO)</w:t>
            </w:r>
          </w:p>
        </w:tc>
        <w:tc>
          <w:tcPr>
            <w:tcW w:type="dxa" w:w="17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$1,500/mo</w:t>
            </w:r>
          </w:p>
        </w:tc>
      </w:tr>
      <w:tr>
        <w:trPr>
          <w:cantSplit/>
        </w:trPr>
        <w:tc>
          <w:tcPr>
            <w:tcW w:type="dxa" w:w="30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 Executive AI Workshop</w:t>
            </w:r>
          </w:p>
        </w:tc>
        <w:tc>
          <w:tcPr>
            <w:tcW w:type="dxa" w:w="45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plus a fair-lending guardrails roadmap (one-time)</w:t>
            </w:r>
          </w:p>
        </w:tc>
        <w:tc>
          <w:tcPr>
            <w:tcW w:type="dxa" w:w="17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 one-time</w:t>
            </w:r>
          </w:p>
        </w:tc>
      </w:tr>
      <w:tr>
        <w:trPr>
          <w:cantSplit/>
        </w:trPr>
        <w:tc>
          <w:tcPr>
            <w:tcW w:type="dxa" w:w="30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90-DAY PILOT — ENTRY PROGRAM</w:t>
            </w:r>
          </w:p>
        </w:tc>
        <w:tc>
          <w:tcPr>
            <w:tcW w:type="dxa" w:w="45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Fixed scope, published rates, no large up-front build (recurring $6,199/mo + workshop)</w:t>
            </w:r>
          </w:p>
        </w:tc>
        <w:tc>
          <w:tcPr>
            <w:tcW w:type="dxa" w:w="17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~$23,600 / quarter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VIA has a ranked, outreach-ready named-dealer target list across the expansion states, competitor-retrenchment triggers live, and the field team running its first AI-sourced dealer conversations — with the GLBA Safeguards and fair-lending readiness baseline in place.</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after the initial term — no long lock-in, no obligation to continue if it does not hit the metric by day 90. If the pilot has not moved the needle by then, you are under no obligation to continue, and we will tell you honestly whether it is worth continuing. You carry the upside, not the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Full Engine — Year 1 (~$188K, the later expansion)</w:t>
      </w:r>
    </w:p>
    <w:p>
      <w:pPr>
        <w:spacing w:after="140" w:before="0" w:line="320"/>
        <w:jc w:val="both"/>
      </w:pPr>
      <w:r>
        <w:rPr>
          <w:rFonts w:ascii="Open Sans" w:cs="Open Sans" w:eastAsia="Open Sans" w:hAnsi="Open Sans"/>
          <w:b w:val="false"/>
          <w:bCs w:val="false"/>
          <w:i w:val="false"/>
          <w:iCs w:val="false"/>
          <w:color w:val="59595B"/>
          <w:sz w:val="22"/>
          <w:szCs w:val="22"/>
        </w:rPr>
        <w:t xml:space="preserve">Once the pilot proves the lift, the full engine adds the funding-speed build — verification, fraud screening, and the dealer portal — plus the fractional advisor and managed services. It is shown here as the expansion, not the 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8"/>
        <w:gridCol w:w="3662"/>
        <w:gridCol w:w="1424"/>
        <w:gridCol w:w="1426"/>
      </w:tblGrid>
      <w:tr>
        <w:trPr>
          <w:cantSplit/>
          <w:tblHeader/>
        </w:trPr>
        <w:tc>
          <w:tcPr>
            <w:tcW w:type="dxa" w:w="28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66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4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Dealer Account Intelligence</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Named-dealer scoring and targeting, competitor-retrenchment triggers, and a rep CRM across the expansion (Professional tier)</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$3,499/mo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program leadership plus explainable-underwriting and fair-lending governance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Dealer Authority Content + Site</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Dealer-facing B2B authority content and a modernized site (not consumer SEO)</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 — GLBA Safeguards Program</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required information-security program and monitoring — the entry point</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$1,200/mo</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$14,400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ongoing optimization of the portal and automations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Build (Phase 2, one-time, phased)</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Stip / income verification, fraud screening, dealer portal + instant-decision UX, and RouteOne / Dealertrack integration</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$75,000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AI Workshop (one-time)</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plus a fair-lending guardrails roadmap</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YEAR-1 TOTAL</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$8,999/mo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~$188,000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Math That Matters</w:t>
            </w:r>
          </w:p>
          <w:p>
            <w:pPr>
              <w:keepNext/>
              <w:keepLines/>
              <w:spacing w:after="60" w:before="40" w:line="300"/>
            </w:pPr>
            <w:r>
              <w:rPr>
                <w:rFonts w:ascii="Open Sans" w:cs="Open Sans" w:eastAsia="Open Sans" w:hAnsi="Open Sans"/>
                <w:color w:val="59595B"/>
                <w:sz w:val="20"/>
                <w:szCs w:val="20"/>
              </w:rPr>
              <w:t xml:space="preserve">Dealers are the lever. Winning roughly twenty net-new dealers in Year 1, each sending a steady flow of funded near-prime deals, is enough incremental volume to cover the program many times over on the funding economics alone.</w:t>
            </w:r>
          </w:p>
          <w:p>
            <w:pPr>
              <w:keepNext/>
              <w:keepLines/>
              <w:spacing w:after="60" w:before="40" w:line="300"/>
            </w:pPr>
            <w:r>
              <w:rPr>
                <w:rFonts w:ascii="Open Sans" w:cs="Open Sans" w:eastAsia="Open Sans" w:hAnsi="Open Sans"/>
                <w:color w:val="59595B"/>
                <w:sz w:val="20"/>
                <w:szCs w:val="20"/>
              </w:rPr>
              <w:t xml:space="preserve">Speed compounds the base. Faster funding lifts capture at every dealer already on board — the lender that funds fastest gets the next deal, month after month, with no new acquisition cost.</w:t>
            </w:r>
          </w:p>
          <w:p>
            <w:pPr>
              <w:keepNext w:val="false"/>
              <w:keepLines/>
              <w:spacing w:after="60" w:before="40" w:line="300"/>
            </w:pPr>
            <w:r>
              <w:rPr>
                <w:rFonts w:ascii="Open Sans" w:cs="Open Sans" w:eastAsia="Open Sans" w:hAnsi="Open Sans"/>
                <w:color w:val="59595B"/>
                <w:sz w:val="20"/>
                <w:szCs w:val="20"/>
              </w:rPr>
              <w:t xml:space="preserve">The program is phased — start with the compliance foundation and dealer intelligence, prove the funding-speed gains, then scale outreach and recruit the next credit-union partner — which lowers the entry point and de-risks the spend.</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suited to a regulated, integration-dependent lender: lay the compliance and intelligence foundation first, then accelerate funding speed and the dealer experience, then scale the outreach and the platform. Real dealer-intelligence and funding-speed gains are visible inside the first ninety days; the bigger integrations and the next CU partner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VIA 90-180-365 Day Roadmap" descr="VIA 90-180-365 Day Roadmap" title="VIA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13.0 — VIA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Get the compliance base right and stand up the intelligence that drives dealer acquisition.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Foundation &amp; Compliance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the GLBA Safeguards review and a fair-lending / adverse-action readiness check. Refresh the website and stand up a clean dealer-enrollment experience so the platform looks as modern as it performs.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Dealer Intelligence Live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named-dealer target lists by territory, turn on competitor-retrenchment triggers, and equip the field team with a CRM and per-dealer dossiers.</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Accelerate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Turn funding speed into the dealer-winning advantage, and meet dealers where they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Verification Automation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Pilot document, income, and employment verification plus fraud and synthetic-identity screening; baseline time-to-fund and drive it down toward the target.</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Portal &amp; Integration</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dealer portal with an instant-decision experience and RouteOne / Dealertrack integration; onboard the first dealers onto the new flow.</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Protect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Scale the account-based outreach, make the decisioning explainable and defensible, and grow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Decisioning &amp; Outreach at Scale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Bring explainable decisioning support and fair-lending monitoring into production; scale personalized dealer outreach across the new states.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Scale the CUSO &amp; Optimize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 additional credit-union partner(s) with the platform proof; turn on portfolio early-warning; deliver the ROI dashboard against the Section 15 baselines.</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VIA can take immediately — before any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Refresh the Site and Add a Dealer-Enrollment Page</w:t>
            </w:r>
          </w:p>
          <w:p>
            <w:pPr>
              <w:keepNext w:val="false"/>
              <w:keepLines/>
              <w:spacing w:after="60" w:before="40" w:line="300"/>
            </w:pPr>
            <w:r>
              <w:rPr>
                <w:rFonts w:ascii="Open Sans" w:cs="Open Sans" w:eastAsia="Open Sans" w:hAnsi="Open Sans"/>
                <w:color w:val="59595B"/>
                <w:sz w:val="20"/>
                <w:szCs w:val="20"/>
              </w:rPr>
              <w:t xml:space="preserve">Modernize the brochure site and add one clean "become a dealer partner" enrollment page. It costs little, and it is the first thing a dealer or a prospective credit-union partner sees when they vet VIA — the platform should look as proven as it is.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Confirm the RouteOne / Dealertrack Submission Path</w:t>
            </w:r>
          </w:p>
          <w:p>
            <w:pPr>
              <w:keepNext w:val="false"/>
              <w:keepLines/>
              <w:spacing w:after="60" w:before="40" w:line="300"/>
            </w:pPr>
            <w:r>
              <w:rPr>
                <w:rFonts w:ascii="Open Sans" w:cs="Open Sans" w:eastAsia="Open Sans" w:hAnsi="Open Sans"/>
                <w:color w:val="59595B"/>
                <w:sz w:val="20"/>
                <w:szCs w:val="20"/>
              </w:rPr>
              <w:t xml:space="preserve">Make sure dealers can submit deals to VIA through the systems they already use every day. If the integration is not exposed, that is the single fastest way to lower the friction of sending VIA a deal — table stakes in indirect lending.</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Publish One Dealer-Facing Authority Piece</w:t>
            </w:r>
          </w:p>
          <w:p>
            <w:pPr>
              <w:keepNext w:val="false"/>
              <w:keepLines/>
              <w:spacing w:after="60" w:before="40" w:line="300"/>
            </w:pPr>
            <w:r>
              <w:rPr>
                <w:rFonts w:ascii="Open Sans" w:cs="Open Sans" w:eastAsia="Open Sans" w:hAnsi="Open Sans"/>
                <w:color w:val="59595B"/>
                <w:sz w:val="20"/>
                <w:szCs w:val="20"/>
              </w:rPr>
              <w:t xml:space="preserve">Write a single, plain page answering the question a dealer actually asks: why send near-prime deals to a credit-union-backed lender? Faster funding, better structures, a partner that funds clean. This is the seed of the content that earns dealer trust before a rep ever calls.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Baseline the Current Time-to-Fund</w:t>
            </w:r>
          </w:p>
          <w:p>
            <w:pPr>
              <w:keepNext w:val="false"/>
              <w:keepLines/>
              <w:spacing w:after="60" w:before="40" w:line="300"/>
            </w:pPr>
            <w:r>
              <w:rPr>
                <w:rFonts w:ascii="Open Sans" w:cs="Open Sans" w:eastAsia="Open Sans" w:hAnsi="Open Sans"/>
                <w:color w:val="59595B"/>
                <w:sz w:val="20"/>
                <w:szCs w:val="20"/>
              </w:rPr>
              <w:t xml:space="preserve">Measure how long a deal takes from submission to funding today, and how much of that is manual stip clearing. That single number is the starting point for the funding-speed story — and the clearest before-and-after the program can show.</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Run a Fair-Lending and Adverse-Action Readiness Check</w:t>
            </w:r>
          </w:p>
          <w:p>
            <w:pPr>
              <w:keepNext w:val="false"/>
              <w:keepLines/>
              <w:spacing w:after="60" w:before="40" w:line="300"/>
            </w:pPr>
            <w:r>
              <w:rPr>
                <w:rFonts w:ascii="Open Sans" w:cs="Open Sans" w:eastAsia="Open Sans" w:hAnsi="Open Sans"/>
                <w:color w:val="59595B"/>
                <w:sz w:val="20"/>
                <w:szCs w:val="20"/>
              </w:rPr>
              <w:t xml:space="preserve">Before any AI touches a credit decision, review how adverse-action reasons are generated today and whether fair-lending testing is documented. It is a free posture check that de-risks everything that follows — and it is exactly what a funding credit union wants to see.</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12 and 13 are deliberately conservative estimates — a short discovery call replaces them with VIA’s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 base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dealer count today, dealers added per month, and field-rep headcount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dealer-acquisition scope and ROI</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Origination run-rate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Annual (vs. cumulative) originations, average loan size, and look-to-book</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funded-volume lines in the model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Funding speed</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time-to-fund and how much stip clearing is manual</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speed baseline the whole program improves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CUSO economics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VIA’s economics per loan (origination / servicing / yield share)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Replaces the illustrative return placeholder with real numbers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Decisioning</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Rules-based scorecard vs. any model; the adverse-action and fair-lending process today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how AI underwriting can be deployed explainably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Fraud</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fraud and synthetic-identity losses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fraud-screening payback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Integrations &amp; systems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RouteOne / Dealertrack / CUDL status, plus the loan-origination and CRM stack</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CUSO structure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American Heritage is the sole funder, and the CU-partner pipeline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platform-expansion track</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VIA’s real numbers — not on our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VIA leadership is most likely asking right now.</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have systems and a field team.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both — the field team and the credit-union relationship stay central. We add the layer they do not: dealer account intelligence, document verification and fraud screening that fund deals faster, and explainable decisioning support. We run under your existing motion, not over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verification, fraud screening, dealer intelligence — not autonomous "agents" making credit decisions. We use the simplest tool that works, measure it, and only expand what earns its place.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borrower PII, credit data, decisioning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compliance-bound, led by a CISSP-certified team. The GLBA Safeguards program is part of the entry program and is the low-friction starting point.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team back hours, not add work. Technijian runs the build and the cadence; your involvement is a short monthly strategy session plus reviewing what we draft.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fixed-price 90-day pilot with a defined success metric (Section 12), month-to-month with no long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small, fixed-price pilot at published rates — no large up-front build. The full engine (the later expansion, ~$188K Year 1) is profiled in Section 12, but only after the pilot proves the lift. We route work across roughly seven models so you pay premium-model prices only for the slice that warrants them.</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VIA already has the hard things: a proven CUSO model, a credit-union funding moat the competition cannot copy, a prime and near-prime book on the safer side of the market, and a track record of $350 million originated and ten thousand members created. What it has not yet done is convert that funding advantage into dealer share by funding faster — and the corner where a funding moat meets AI speed is still empty.</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win more dealers with account intelligence while competitors retrench, fund faster and cleaner so the lender that moves quickest gets the deal, and protect the credit union’s return so the platform can scale to more states and more partners. A focused, account-based program does all three — with underwriting that stays explainable and a field team that stays central.</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compliance foundation, the site and dealer-enrollment refresh, and dealer account intelligence — live inside 30 days of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Ready to pair your funding moat with AI funding-speed?</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regional businesses compete at scale —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VIA Auto Finance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Account-based dealer acquisition — scoring, prioritizing, and sequencing the named rooftops and credit-union partners worth winning, supporting the field team rather than replacing it</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fraud and synthetic-identity screening, explainable decisioning, fair-lending monitoring, and portfolio early-warning, with governance throughout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dealer portal and instant-decision experience, document verification, and RouteOne / Dealertrack integration</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Dealer-facing authority content and a modernized site that build credibility with dealers and prospective credit-union partners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GLBA Safeguards information-security program, monitoring, and the audit trails that make AI-assisted lending defensible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May 2026. Firmographic details (founding year, originations, members, states, ownership, and leadership) are drawn from public sources and company materials and should be confirmed with VIA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VIA Auto Finance — official website: viaautofinance.com (Home, About, For Dealers, Why Partner, For Borrowers, Contact)</w:t>
      </w:r>
    </w:p>
    <w:p>
      <w:pPr>
        <w:spacing w:after="140" w:before="0" w:line="320"/>
        <w:jc w:val="both"/>
      </w:pPr>
      <w:r>
        <w:rPr>
          <w:rFonts w:ascii="Open Sans" w:cs="Open Sans" w:eastAsia="Open Sans" w:hAnsi="Open Sans"/>
          <w:b w:val="false"/>
          <w:bCs w:val="false"/>
          <w:i w:val="false"/>
          <w:iCs w:val="false"/>
          <w:color w:val="59595B"/>
          <w:sz w:val="20"/>
          <w:szCs w:val="20"/>
        </w:rPr>
        <w:t xml:space="preserve">2. American Heritage Credit Union &amp; CUInsight — joint press release (Feb 2025): $350M originations and 10,000 new members milestone; CUInsight company profile</w:t>
      </w:r>
    </w:p>
    <w:p>
      <w:pPr>
        <w:spacing w:after="140" w:before="0" w:line="320"/>
        <w:jc w:val="both"/>
      </w:pPr>
      <w:r>
        <w:rPr>
          <w:rFonts w:ascii="Open Sans" w:cs="Open Sans" w:eastAsia="Open Sans" w:hAnsi="Open Sans"/>
          <w:b w:val="false"/>
          <w:bCs w:val="false"/>
          <w:i w:val="false"/>
          <w:iCs w:val="false"/>
          <w:color w:val="59595B"/>
          <w:sz w:val="20"/>
          <w:szCs w:val="20"/>
        </w:rPr>
        <w:t xml:space="preserve">3. Washington Secretary of State corporate record — VIA Auto Finance, LLC (legal entity / formation); leadership (Robert Barbee, President &amp; CEO) via company press and LinkedIn</w:t>
      </w:r>
    </w:p>
    <w:p>
      <w:pPr>
        <w:spacing w:after="140" w:before="0" w:line="320"/>
        <w:jc w:val="both"/>
      </w:pPr>
      <w:r>
        <w:rPr>
          <w:rFonts w:ascii="Open Sans" w:cs="Open Sans" w:eastAsia="Open Sans" w:hAnsi="Open Sans"/>
          <w:b w:val="false"/>
          <w:bCs w:val="false"/>
          <w:i w:val="false"/>
          <w:iCs w:val="false"/>
          <w:color w:val="59595B"/>
          <w:sz w:val="20"/>
          <w:szCs w:val="20"/>
        </w:rPr>
        <w:t xml:space="preserve">4. Competitors — Open Lending (Lenders Protection), Upstart, Global Lending Services, Westlake Financial, Lobel Financial, Consumer Portfolio Services, Veros Credit, Exeter Finance, Credit Acceptance, Lendbuzz, AutoFi</w:t>
      </w:r>
    </w:p>
    <w:p>
      <w:pPr>
        <w:spacing w:after="140" w:before="0" w:line="320"/>
        <w:jc w:val="both"/>
      </w:pPr>
      <w:r>
        <w:rPr>
          <w:rFonts w:ascii="Open Sans" w:cs="Open Sans" w:eastAsia="Open Sans" w:hAnsi="Open Sans"/>
          <w:b w:val="false"/>
          <w:bCs w:val="false"/>
          <w:i w:val="false"/>
          <w:iCs w:val="false"/>
          <w:color w:val="59595B"/>
          <w:sz w:val="20"/>
          <w:szCs w:val="20"/>
        </w:rPr>
        <w:t xml:space="preserve">5. Industry — Cox Automotive (vehicle prices and affordability), Fitch / Federal Reserve (subprime delinquency), Origence / CU Management (credit-union channel and operational-friction analysis), Point Predictive (auto-lending fraud exposure)</w:t>
      </w:r>
    </w:p>
    <w:p>
      <w:pPr>
        <w:spacing w:after="140" w:before="0" w:line="320"/>
        <w:jc w:val="both"/>
      </w:pPr>
      <w:r>
        <w:rPr>
          <w:rFonts w:ascii="Open Sans" w:cs="Open Sans" w:eastAsia="Open Sans" w:hAnsi="Open Sans"/>
          <w:b w:val="false"/>
          <w:bCs w:val="false"/>
          <w:i w:val="false"/>
          <w:iCs w:val="false"/>
          <w:color w:val="59595B"/>
          <w:sz w:val="20"/>
          <w:szCs w:val="20"/>
        </w:rPr>
        <w:t xml:space="preserve">6. Regulation — CFPB Circular 2023-03 (adverse-action and AI explainability); ECOA / Reg B; TILA / Reg Z; FCRA; FDCPA; FTC Safeguards Rule (GLBA); SCRA / Military Lending Act; state licensing and rate-cap surveys</w:t>
      </w:r>
    </w:p>
    <w:p>
      <w:pPr>
        <w:spacing w:after="140" w:before="0" w:line="320"/>
        <w:jc w:val="both"/>
      </w:pPr>
      <w:r>
        <w:rPr>
          <w:rFonts w:ascii="Open Sans" w:cs="Open Sans" w:eastAsia="Open Sans" w:hAnsi="Open Sans"/>
          <w:b w:val="false"/>
          <w:bCs w:val="false"/>
          <w:i w:val="false"/>
          <w:iCs w:val="false"/>
          <w:color w:val="59595B"/>
          <w:sz w:val="20"/>
          <w:szCs w:val="20"/>
        </w:rPr>
        <w:t xml:space="preserve">7. Technijian service pricing — My AI Lead Gen (Starter $1,499 / Professional $3,499 / Enterprise $6,999), My AI, My SEO, My Dev, and My Security rate cards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ageBreakBefore/>
      <w:spacing w:after="120" w:before="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0e56fff178c8bb30edb70c7ba832f7b4f2aea583.png"/><Relationship Id="rId11" Type="http://schemas.openxmlformats.org/officeDocument/2006/relationships/image" Target="media/258bd4cb947fcb634a60f3f26937b6ae145f877f.png"/><Relationship Id="rId12" Type="http://schemas.openxmlformats.org/officeDocument/2006/relationships/image" Target="media/ff04cea9b40547ee2bfbb0cfe584c310e3ddc848.png"/><Relationship Id="rId13" Type="http://schemas.openxmlformats.org/officeDocument/2006/relationships/image" Target="media/d65d3b6724db18a68f32fc1695f916b488348313.png"/><Relationship Id="rId14" Type="http://schemas.openxmlformats.org/officeDocument/2006/relationships/image" Target="media/e0b143733f309a1838091f0505a8e45c0f416de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2026-06-11T05:05:52.813Z</dcterms:created>
  <dcterms:modified xsi:type="dcterms:W3CDTF">2026-06-11T05:05:52.815Z</dcterms:modified>
</cp:coreProperties>
</file>

<file path=docProps/custom.xml><?xml version="1.0" encoding="utf-8"?>
<Properties xmlns="http://schemas.openxmlformats.org/officeDocument/2006/custom-properties" xmlns:vt="http://schemas.openxmlformats.org/officeDocument/2006/docPropsVTypes"/>
</file>