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pPr>
              <w:spacing w:after="0" w:before="200"/>
            </w:pPr>
            <w:r>
              <w:t xml:space="preserve"/>
            </w:r>
          </w:p>
        </w:tc>
      </w:tr>
    </w:tbl>
    <w:p>
      <w:pPr>
        <w:spacing w:after="0" w:before="5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286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00"/>
      </w:pPr>
      <w:r>
        <w:t xml:space="preserve"/>
      </w:r>
    </w:p>
    <w:p>
      <w:pPr>
        <w:spacing w:after="60"/>
        <w:jc w:val="center"/>
      </w:pPr>
      <w:r>
        <w:rPr>
          <w:rFonts w:ascii="Open Sans" w:cs="Open Sans" w:eastAsia="Open Sans" w:hAnsi="Open Sans"/>
          <w:b/>
          <w:bCs/>
          <w:color w:val="1A1A2E"/>
          <w:sz w:val="44"/>
          <w:szCs w:val="44"/>
        </w:rPr>
        <w:t xml:space="preserve">DANIELIAN ASSOCIATES</w:t>
      </w:r>
    </w:p>
    <w:p>
      <w:pPr>
        <w:spacing w:after="40"/>
        <w:jc w:val="center"/>
      </w:pPr>
      <w:r>
        <w:rPr>
          <w:rFonts w:ascii="Open Sans" w:cs="Open Sans" w:eastAsia="Open Sans" w:hAnsi="Open Sans"/>
          <w:color w:val="006DB6"/>
          <w:sz w:val="30"/>
          <w:szCs w:val="30"/>
        </w:rPr>
        <w:t xml:space="preserve">AI Growth &amp; Integration Strategy</w:t>
      </w:r>
    </w:p>
    <w:p>
      <w:pPr>
        <w:spacing w:after="60"/>
        <w:jc w:val="center"/>
      </w:pPr>
      <w:r>
        <w:rPr>
          <w:rFonts w:ascii="Open Sans" w:cs="Open Sans" w:eastAsia="Open Sans" w:hAnsi="Open Sans"/>
          <w:b/>
          <w:bCs/>
          <w:color w:val="F67D4B"/>
          <w:sz w:val="24"/>
          <w:szCs w:val="24"/>
        </w:rPr>
        <w:t xml:space="preserve">Executive Summary</w:t>
      </w:r>
    </w:p>
    <w:p>
      <w:pPr>
        <w:spacing w:after="0" w:before="2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0"/>
                <w:szCs w:val="40"/>
              </w:rPr>
              <w:t xml:space="preserve">1968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57 years designing communities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40"/>
                <w:szCs w:val="40"/>
              </w:rPr>
              <w:t xml:space="preserve">1M+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Units of housing delivered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40"/>
                <w:szCs w:val="40"/>
              </w:rPr>
              <w:t xml:space="preserve">775+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Design awards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40"/>
                <w:szCs w:val="40"/>
              </w:rPr>
              <w:t xml:space="preserve">~2.6×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Modeled Y1 ROI vs. the entry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spacing w:after="140" w:before="0" w:line="320"/>
        <w:jc w:val="center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Two fronts: win more developer pursuits — and run the studio with less non-design drag. AI sits under the relationships and the craft Danielian has built over 57 years; it does not design, and it does not replace the pursuit. This summary covers the opportunity, the engine, the program, and the entry. The full strategy is ready on request.</w:t>
      </w:r>
    </w:p>
    <w:p>
      <w:pPr>
        <w:spacing w:after="0" w:before="200"/>
      </w:pPr>
      <w:r>
        <w:t xml:space="preserve"/>
      </w:r>
    </w:p>
    <w:p>
      <w:pPr>
        <w:spacing w:after="40"/>
        <w:jc w:val="center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Prepared for Danielian Associates  |  Technijian  |  2026-06-01</w:t>
      </w:r>
    </w:p>
    <w:p>
      <w:r>
        <w:br w:type="page"/>
      </w:r>
    </w:p>
    <w:p>
      <w:pPr>
        <w:pStyle w:val="Heading1"/>
        <w:keepNext/>
        <w:spacing w:after="120" w:before="36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01  The Opportunity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01  The Opportunity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Danielian wins work through deep developer relationships, a reputation for craft, and pursuits that land the next project. None of that changes. What this strategy adds is a layer underneath it, on two fronts at once: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3"/>
        <w:gridCol w:w="3918"/>
        <w:gridCol w:w="3919"/>
      </w:tblGrid>
      <w:tr>
        <w:trPr>
          <w:cantSplit/>
          <w:tblHeader/>
        </w:trPr>
        <w:tc>
          <w:tcPr>
            <w:tcW w:type="dxa" w:w="152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Front 1 — Growth (win more pursuits)</w:t>
            </w:r>
          </w:p>
        </w:tc>
        <w:tc>
          <w:tcPr>
            <w:tcW w:type="dxa" w:w="3919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Front 2 — Integration (run the studio)</w:t>
            </w:r>
          </w:p>
        </w:tc>
      </w:tr>
      <w:tr>
        <w:trPr>
          <w:cantSplit/>
        </w:trPr>
        <w:tc>
          <w:tcPr>
            <w:tcW w:type="dxa" w:w="152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The win</w:t>
            </w:r>
          </w:p>
        </w:tc>
        <w:tc>
          <w:tcPr>
            <w:tcW w:type="dxa" w:w="391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Higher pursuit win rate; faster, sharper proposals; better account timing</w:t>
            </w:r>
          </w:p>
        </w:tc>
        <w:tc>
          <w:tcPr>
            <w:tcW w:type="dxa" w:w="3919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Hours returned to billable design; 57 years of knowledge made searchable</w:t>
            </w:r>
          </w:p>
        </w:tc>
      </w:tr>
      <w:tr>
        <w:trPr>
          <w:cantSplit/>
        </w:trPr>
        <w:tc>
          <w:tcPr>
            <w:tcW w:type="dxa" w:w="152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Owner</w:t>
            </w:r>
          </w:p>
        </w:tc>
        <w:tc>
          <w:tcPr>
            <w:tcW w:type="dxa" w:w="391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Deborah Muro, Director of Business Development</w:t>
            </w:r>
          </w:p>
        </w:tc>
        <w:tc>
          <w:tcPr>
            <w:tcW w:type="dxa" w:w="3919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Victor Alvarez-Duran, Chief Technology Manager</w:t>
            </w:r>
          </w:p>
        </w:tc>
      </w:tr>
      <w:tr>
        <w:trPr>
          <w:cantSplit/>
        </w:trPr>
        <w:tc>
          <w:tcPr>
            <w:tcW w:type="dxa" w:w="152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AI role</w:t>
            </w:r>
          </w:p>
        </w:tc>
        <w:tc>
          <w:tcPr>
            <w:tcW w:type="dxa" w:w="391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Account intelligence, proposal automation, authority content</w:t>
            </w:r>
          </w:p>
        </w:tc>
        <w:tc>
          <w:tcPr>
            <w:tcW w:type="dxa" w:w="3919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Searchable archive, entitlement research, production automation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Why Now — The 2026 Window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Demand is being legislated up: SB 79 (transit upzoning, effective July 2026), SB 1211 (up to 8 ADUs per multifamily lot), and ADU streamlining push more work into Danielian’s exact product lines — multifamily, BTR, ADU, middle housing.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The field is split: 53% of A&amp;E firms now use AI and 94% of users are expanding it, yet only ~20% feel "highly prepared." The firm that turns pursuits around fastest captures disproportionate share.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Danielian already runs on EOS, with a Chief Technology Manager and a Director of Business Development — the two seats this program reports into. It is a firm built to absorb this.</w:t>
            </w:r>
          </w:p>
        </w:tc>
      </w:tr>
    </w:tbl>
    <w:p>
      <w:pPr>
        <w:pStyle w:val="Heading1"/>
        <w:keepNext/>
        <w:spacing w:after="120" w:before="36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02  The Engine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02  The Engine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Three motions, all aimed at the named developers Danielian already competes for — never a broad funnel. AI sits under the relationship layer and removes the non-design drag; the trust and the craft still win the work.</w:t>
      </w:r>
    </w:p>
    <w:p>
      <w:pPr>
        <w:spacing w:after="0" w:before="6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The Danielian AI Growth + Integration Engine" descr="The Danielian AI Growth + Integration Engine" title="The Danielian AI Growth + Integration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Inbound authority · Outbound pursuit intelligence · Internal knowledge &amp; production — feeding one studio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Get cited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Authority content on the housing-policy questions developers ask (SB 79, ADU, BTR) — so Danielian is the cited expert, not a name in a broad ad.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Win the pursuit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SOQ / RFQ / proposal assembly from days to hours, precedent-matched per pursuit, with account intelligence on land buys and entitlement filings.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Free the studio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57 years and 6,353 projects, finally searchable; entitlement and code research with a head start — hours returned to design and client time.</w:t>
            </w:r>
          </w:p>
        </w:tc>
      </w:tr>
    </w:tbl>
    <w:p>
      <w:pPr>
        <w:pStyle w:val="Heading1"/>
        <w:keepNext/>
        <w:spacing w:after="120" w:before="36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03  The Program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03  The Program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program is built land-and-expand and framed as EOS Rocks: a small entry that proves the lift, then a clearly-labeled expansion once it does. Here is the entry — the easy yes. The bigger build (the institutional knowledge graph, account intelligence, the entitlement assistant) comes later, once the entry proves out, and is scoped at discovery.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576"/>
        <w:gridCol w:w="1664"/>
      </w:tblGrid>
      <w:tr>
        <w:trPr>
          <w:cantSplit/>
          <w:tblHeader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Entry Service</w:t>
            </w:r>
          </w:p>
        </w:tc>
        <w:tc>
          <w:tcPr>
            <w:tcW w:type="dxa" w:w="457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66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Est. Y1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AI — Workshop + Readiness</w:t>
            </w:r>
          </w:p>
        </w:tc>
        <w:tc>
          <w:tcPr>
            <w:tcW w:type="dxa" w:w="457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Set the AI program as EOS Rocks; readiness baseline (one-time)</w:t>
            </w:r>
          </w:p>
        </w:tc>
        <w:tc>
          <w:tcPr>
            <w:tcW w:type="dxa" w:w="166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~$5,000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AI — Fractional AI Advisor</w:t>
            </w:r>
          </w:p>
        </w:tc>
        <w:tc>
          <w:tcPr>
            <w:tcW w:type="dxa" w:w="457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Program lead, governance, and the pursuit-automation pilot</w:t>
            </w:r>
          </w:p>
        </w:tc>
        <w:tc>
          <w:tcPr>
            <w:tcW w:type="dxa" w:w="166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~$24,000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SEO — Authority / AEO foundation</w:t>
            </w:r>
          </w:p>
        </w:tc>
        <w:tc>
          <w:tcPr>
            <w:tcW w:type="dxa" w:w="457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Authority content on the housing-policy questions developers ask</w:t>
            </w:r>
          </w:p>
        </w:tc>
        <w:tc>
          <w:tcPr>
            <w:tcW w:type="dxa" w:w="166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~$12,000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ENTRY PROGRAM (Y1)</w:t>
            </w:r>
          </w:p>
        </w:tc>
        <w:tc>
          <w:tcPr>
            <w:tcW w:type="dxa" w:w="457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Prove the pursuit + efficiency lift, no large build</w:t>
            </w:r>
          </w:p>
        </w:tc>
        <w:tc>
          <w:tcPr>
            <w:tcW w:type="dxa" w:w="166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~$41,000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3"/>
        <w:gridCol w:w="1985"/>
        <w:gridCol w:w="1985"/>
        <w:gridCol w:w="1987"/>
      </w:tblGrid>
      <w:tr>
        <w:trPr>
          <w:cantSplit/>
          <w:tblHeader/>
        </w:trPr>
        <w:tc>
          <w:tcPr>
            <w:tcW w:type="dxa" w:w="340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Year-1 ROI vs. entry</w:t>
            </w:r>
          </w:p>
        </w:tc>
        <w:tc>
          <w:tcPr>
            <w:tcW w:type="dxa" w:w="198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Downside-Protected</w:t>
            </w:r>
          </w:p>
        </w:tc>
        <w:tc>
          <w:tcPr>
            <w:tcW w:type="dxa" w:w="198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Likely</w:t>
            </w:r>
          </w:p>
        </w:tc>
        <w:tc>
          <w:tcPr>
            <w:tcW w:type="dxa" w:w="198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Upside</w:t>
            </w:r>
          </w:p>
        </w:tc>
      </w:tr>
      <w:tr>
        <w:trPr>
          <w:cantSplit/>
        </w:trPr>
        <w:tc>
          <w:tcPr>
            <w:tcW w:type="dxa" w:w="340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Total estimated Y1 value</w:t>
            </w:r>
          </w:p>
        </w:tc>
        <w:tc>
          <w:tcPr>
            <w:tcW w:type="dxa" w:w="198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+$22,500</w:t>
            </w:r>
          </w:p>
        </w:tc>
        <w:tc>
          <w:tcPr>
            <w:tcW w:type="dxa" w:w="198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+$105,000</w:t>
            </w:r>
          </w:p>
        </w:tc>
        <w:tc>
          <w:tcPr>
            <w:tcW w:type="dxa" w:w="198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+$225,000</w:t>
            </w:r>
          </w:p>
        </w:tc>
      </w:tr>
      <w:tr>
        <w:trPr>
          <w:cantSplit/>
        </w:trPr>
        <w:tc>
          <w:tcPr>
            <w:tcW w:type="dxa" w:w="340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Modeled ROI</w:t>
            </w:r>
          </w:p>
        </w:tc>
        <w:tc>
          <w:tcPr>
            <w:tcW w:type="dxa" w:w="198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pays for itself</w:t>
            </w:r>
          </w:p>
        </w:tc>
        <w:tc>
          <w:tcPr>
            <w:tcW w:type="dxa" w:w="198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~2.6×</w:t>
            </w:r>
          </w:p>
        </w:tc>
        <w:tc>
          <w:tcPr>
            <w:tcW w:type="dxa" w:w="198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~5.5×</w:t>
            </w:r>
          </w:p>
        </w:tc>
      </w:tr>
    </w:tbl>
    <w:p>
      <w:pPr>
        <w:spacing w:after="140" w:before="60" w:line="320"/>
        <w:jc w:val="both"/>
      </w:pPr>
      <w:r>
        <w:rPr>
          <w:rFonts w:ascii="Open Sans" w:cs="Open Sans" w:eastAsia="Open Sans" w:hAnsi="Open Sans"/>
          <w:b w:val="false"/>
          <w:bCs w:val="false"/>
          <w:i/>
          <w:iCs/>
          <w:color w:val="59595B"/>
          <w:sz w:val="18"/>
          <w:szCs w:val="18"/>
        </w:rPr>
        <w:t xml:space="preserve">Even with zero additional pursuit wins, the studio hours the automation returns cover the entry. The expected case counts a single added win plus those hours. Projected, not guaranteed; calibrated to Danielian’s real numbers at discovery.</w:t>
      </w:r>
    </w:p>
    <w:p>
      <w:pPr>
        <w:pStyle w:val="Heading1"/>
        <w:keepNext/>
        <w:spacing w:after="120" w:before="36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04  The Roadmap &amp; Next Step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32"/>
                <w:szCs w:val="32"/>
              </w:rPr>
              <w:t xml:space="preserve">04  The Roadmap &amp; Next Step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Implementation Roadmap" descr="Implementation Roadmap" title="Implementation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Foundation (0–90 days) → Pursuit Engine (90–180) → Firmwide Scale (180–365)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9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6"/>
                <w:szCs w:val="26"/>
              </w:rPr>
              <w:t xml:space="preserve">Two fronts, one local partner — five minutes apart in Irvine.</w:t>
            </w:r>
          </w:p>
          <w:p>
            <w:pPr>
              <w:spacing w:after="90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FFFFFF"/>
                <w:sz w:val="22"/>
                <w:szCs w:val="22"/>
              </w:rPr>
              <w:t xml:space="preserve">Start with a free Nexus Assess and one live-pursuit before/after — no contract, no obligation.</w:t>
            </w:r>
          </w:p>
          <w:p>
            <w:pPr>
              <w:spacing w:after="90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FFFFFF"/>
                <w:sz w:val="20"/>
                <w:szCs w:val="20"/>
              </w:rPr>
              <w:t xml:space="preserve">Use the Book a Meeting button in my signature to set up a time to discuss this and all the</w:t>
            </w:r>
          </w:p>
          <w:p>
            <w:pPr>
              <w:spacing w:after="90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FFFFFF"/>
                <w:sz w:val="20"/>
                <w:szCs w:val="20"/>
              </w:rPr>
              <w:t xml:space="preserve">AI strategies Technijian is putting into place for itself and its clients.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FFFFFF"/>
                <w:sz w:val="20"/>
                <w:szCs w:val="20"/>
              </w:rPr>
              <w:t xml:space="preserve">Ravi Jain, Technijian  |  rjain@technijian.com  |  949.379.8499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40" w:before="0" w:line="320"/>
        <w:jc w:val="center"/>
      </w:pPr>
      <w:r>
        <w:rPr>
          <w:rFonts w:ascii="Open Sans" w:cs="Open Sans" w:eastAsia="Open Sans" w:hAnsi="Open Sans"/>
          <w:b w:val="false"/>
          <w:bCs w:val="false"/>
          <w:i/>
          <w:iCs/>
          <w:color w:val="59595B"/>
          <w:sz w:val="22"/>
          <w:szCs w:val="22"/>
        </w:rPr>
        <w:t xml:space="preserve">The full AI Growth &amp; Integration Strategy — the buyer universe, competitive landscape, capability proof, the EOS integration plan, the complete service map, and the discovery questions — is ready if you want to read further before we meet.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 |  Irvine, CA  |  949.379.8499  |  technijian.com  |  CONFIDENTIAL  |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59595B"/>
        <w:sz w:val="16"/>
        <w:szCs w:val="16"/>
      </w:rPr>
      <w:t xml:space="preserve"> of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2400"/>
      <w:gridCol w:w="69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52400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single" w:color="006DB6" w:sz="6"/>
            <w:right w:val="none" w:color="FFFFFF" w:sz="0"/>
          </w:tcBorders>
          <w:vAlign w:val="bottom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Executive Summary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Open Sans" w:cs="Open Sans" w:eastAsia="Open Sans" w:hAnsi="Open Sans"/>
      <w:b/>
      <w:bCs/>
      <w:color w:val="FFFFFF"/>
      <w:sz w:val="2"/>
      <w:szCs w:val="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a411e2cba4fb0a0de5b42d0cbf546939e758dd.png"/><Relationship Id="rId10" Type="http://schemas.openxmlformats.org/officeDocument/2006/relationships/image" Target="media/55d76f01788646cde693c2d5295808669767bf8d.png"/><Relationship Id="rId11" Type="http://schemas.openxmlformats.org/officeDocument/2006/relationships/image" Target="media/acdcd7ef60f404b641a72b2364d7f3ca18e9f6b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2026-06-01T20:24:10.430Z</dcterms:created>
  <dcterms:modified xsi:type="dcterms:W3CDTF">2026-06-01T20:24:10.432Z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