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pPr>
              <w:spacing w:after="0" w:before="200"/>
            </w:pPr>
            <w:r>
              <w:t xml:space="preserve"/>
            </w:r>
          </w:p>
        </w:tc>
      </w:tr>
    </w:tbl>
    <w:p>
      <w:pPr>
        <w:spacing w:after="0" w:before="50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2286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300"/>
      </w:pPr>
      <w:r>
        <w:t xml:space="preserve"/>
      </w:r>
    </w:p>
    <w:p>
      <w:pPr>
        <w:spacing w:after="60"/>
        <w:jc w:val="center"/>
      </w:pPr>
      <w:r>
        <w:rPr>
          <w:rFonts w:ascii="Open Sans" w:cs="Open Sans" w:eastAsia="Open Sans" w:hAnsi="Open Sans"/>
          <w:b/>
          <w:bCs/>
          <w:color w:val="1A1A2E"/>
          <w:sz w:val="52"/>
          <w:szCs w:val="52"/>
        </w:rPr>
        <w:t xml:space="preserve">CARDLOGIX</w:t>
      </w:r>
    </w:p>
    <w:p>
      <w:pPr>
        <w:spacing w:after="60"/>
        <w:jc w:val="center"/>
      </w:pPr>
      <w:r>
        <w:rPr>
          <w:rFonts w:ascii="Open Sans" w:cs="Open Sans" w:eastAsia="Open Sans" w:hAnsi="Open Sans"/>
          <w:color w:val="006DB6"/>
          <w:sz w:val="30"/>
          <w:szCs w:val="30"/>
        </w:rPr>
        <w:t xml:space="preserve">AI-Driven Business Development Blueprint</w:t>
      </w:r>
    </w:p>
    <w:p>
      <w:pPr>
        <w:spacing w:after="80"/>
        <w:jc w:val="center"/>
      </w:pPr>
      <w:r>
        <w:rPr>
          <w:rFonts w:ascii="Open Sans" w:cs="Open Sans" w:eastAsia="Open Sans" w:hAnsi="Open Sans"/>
          <w:b/>
          <w:bCs/>
          <w:color w:val="F67D4B"/>
          <w:sz w:val="26"/>
          <w:szCs w:val="26"/>
        </w:rPr>
        <w:t xml:space="preserve">Executive Summary</w:t>
      </w:r>
    </w:p>
    <w:p>
      <w:pPr>
        <w:spacing w:after="0" w:before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38"/>
                <w:szCs w:val="38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Tracks: your IT + a CJIS partnership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38"/>
                <w:szCs w:val="38"/>
              </w:rPr>
              <w:t xml:space="preserve">Oct 2024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CJIS phishing-resistant MFA went mandatory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AAC8"/>
                <w:sz w:val="38"/>
                <w:szCs w:val="38"/>
              </w:rPr>
              <w:t xml:space="preserve">~$31K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Entry program, Year 1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38"/>
                <w:szCs w:val="38"/>
              </w:rPr>
              <w:t xml:space="preserve">5 min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Apart in the Irvine Spectrum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spacing w:after="140" w:before="0" w:line="320"/>
        <w:jc w:val="center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CardLogix makes the credentials that secure identity — PIV, FIDO2, FRAC, and BIOSID. This summary distils a two-track plan: a small co-managed IT engagement for CardLogix’s own team now, and a CJIS-MFA channel partnership where Technijian wraps managed services around CardLogix’s cards for law-enforcement agencies. The full plan is ready on request.</w:t>
      </w:r>
    </w:p>
    <w:p>
      <w:pPr>
        <w:spacing w:after="0" w:before="200"/>
      </w:pPr>
      <w:r>
        <w:t xml:space="preserve"/>
      </w:r>
    </w:p>
    <w:p>
      <w:pPr>
        <w:jc w:val="center"/>
      </w:pPr>
      <w:r>
        <w:rPr>
          <w:rFonts w:ascii="Open Sans" w:cs="Open Sans" w:eastAsia="Open Sans" w:hAnsi="Open Sans"/>
          <w:color w:val="59595B"/>
          <w:sz w:val="20"/>
          <w:szCs w:val="20"/>
        </w:rPr>
        <w:t xml:space="preserve">Prepared for CardLogix Corporation  |  Technijian  |  2026-05-30</w:t>
      </w:r>
    </w:p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2"/>
                <w:szCs w:val="32"/>
              </w:rPr>
              <w:t xml:space="preserve">The Opportunity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Two distinct openings sit in front of CardLogix, and the plan treats them as parallel tracks — one fast and close to home, one strategic.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8"/>
        <w:gridCol w:w="3880"/>
        <w:gridCol w:w="3882"/>
      </w:tblGrid>
      <w:tr>
        <w:trPr>
          <w:cantSplit/>
          <w:tblHeader/>
        </w:trPr>
        <w:tc>
          <w:tcPr>
            <w:tcW w:type="dxa" w:w="159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8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Track A — Your Own IT</w:t>
            </w:r>
          </w:p>
        </w:tc>
        <w:tc>
          <w:tcPr>
            <w:tcW w:type="dxa" w:w="38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Track B — CJIS / MFA Partnership</w:t>
            </w:r>
          </w:p>
        </w:tc>
      </w:tr>
      <w:tr>
        <w:trPr>
          <w:cantSplit/>
        </w:trPr>
        <w:tc>
          <w:tcPr>
            <w:tcW w:type="dxa" w:w="159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What</w:t>
            </w:r>
          </w:p>
        </w:tc>
        <w:tc>
          <w:tcPr>
            <w:tcW w:type="dxa" w:w="38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Co-managed IT for a lean internal team</w:t>
            </w:r>
          </w:p>
        </w:tc>
        <w:tc>
          <w:tcPr>
            <w:tcW w:type="dxa" w:w="38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CardLogix supplies the credentials; Technijian wraps managed IT, SOC, and CJIS compliance for agencies</w:t>
            </w:r>
          </w:p>
        </w:tc>
      </w:tr>
      <w:tr>
        <w:trPr>
          <w:cantSplit/>
        </w:trPr>
        <w:tc>
          <w:tcPr>
            <w:tcW w:type="dxa" w:w="159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Confidence</w:t>
            </w:r>
          </w:p>
        </w:tc>
        <w:tc>
          <w:tcPr>
            <w:tcW w:type="dxa" w:w="38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High — this is what co-managed IT is for</w:t>
            </w:r>
          </w:p>
        </w:tc>
        <w:tc>
          <w:tcPr>
            <w:tcW w:type="dxa" w:w="38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Real but unproven — the CJIS mandate is the catalyst</w:t>
            </w:r>
          </w:p>
        </w:tc>
      </w:tr>
      <w:tr>
        <w:trPr>
          <w:cantSplit/>
        </w:trPr>
        <w:tc>
          <w:tcPr>
            <w:tcW w:type="dxa" w:w="159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Time</w:t>
            </w:r>
          </w:p>
        </w:tc>
        <w:tc>
          <w:tcPr>
            <w:tcW w:type="dxa" w:w="38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Weeks once scoped</w:t>
            </w:r>
          </w:p>
        </w:tc>
        <w:tc>
          <w:tcPr>
            <w:tcW w:type="dxa" w:w="38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 few quarters — needs one joint pilot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2"/>
                <w:szCs w:val="22"/>
              </w:rPr>
              <w:t xml:space="preserve">Why Now — The CJIS Shift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CJIS Security Policy 5.9.5 made phishing-resistant MFA mandatory for law-enforcement access to criminal-justice information as of October 1, 2024; version 6.0 tightened it further.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CardLogix’s PIV and FIDO2 cards satisfy that mandate. What agencies still need is a partner to deploy and operate them — the managed-services wrap CardLogix does not bring today.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Honest note: Technijian runs eight compliance frameworks but not yet CJIS. We treat CJIS as a near-term build adjacent to our existing CMMC practice — triggered by exactly this partnership, never claimed as completed work.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2"/>
                <w:szCs w:val="32"/>
              </w:rPr>
              <w:t xml:space="preserve">How AI Powers Both Tracks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This is account-based, not broad lead generation. AI sits underneath the relationship layer — it surfaces the right agencies, arms the conversation, and automates the compliance evidence. The human trust between CardLogix, Technijian, and an agency still closes the deal.</w:t>
      </w:r>
    </w:p>
    <w:p>
      <w:pPr>
        <w:spacing w:after="80" w:before="120"/>
        <w:jc w:val="center"/>
      </w:pPr>
      <w:r>
        <w:drawing>
          <wp:inline distT="0" distB="0" distL="0" distR="0">
            <wp:extent cx="5715000" cy="4029075"/>
            <wp:effectExtent t="0" r="0" b="0" l="0"/>
            <wp:docPr id="1" name="CardLogix AI Growth Engine" descr="CardLogix AI Growth Engine" title="CardLogix AI Growth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Inbound authority · Outbound account intelligence · Internal evidence — feeding one joint pipeline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Three Motions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Get cited: authority content answering the exact CJIS and smart-card questions agency IT teams ask.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Reach the right accounts: AI account intelligence and trigger monitoring on named agencies and the integrators that serve them.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Remove the drag: AI-assisted CJIS audit-evidence packs and card-lifecycle automation.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2"/>
                <w:szCs w:val="32"/>
              </w:rPr>
              <w:t xml:space="preserve">The Entry Program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plan is built land-and-expand: a small, easy-to-approve entry that solves Track A now, with the larger partnership engine built later, once the entry proves the working relationship. Only the entry is shown here; the full Service Investment Map is reserved for the discovery call. Every figure is estimated and confirmed at discovery.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4368"/>
        <w:gridCol w:w="1872"/>
      </w:tblGrid>
      <w:tr>
        <w:trPr>
          <w:cantSplit/>
          <w:tblHeader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Est. Y1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IT — Co-Managed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Coverage, monitoring, patching, senior support for a lean team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~$14,400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 — Authority Starter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Foundation content on CJIS + smart-card questions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~$12,000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 — Readiness Workshop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One-time: map the joint go-to-market + CJIS build path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~$5,000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ENTRY PROGRAM (Y1)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The land — no large build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~$31,400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entry is small on purpose. Its return is partly recovered internal IT time and a stronger posture — but mostly the trust that makes the partnership (Track B) credible. The bigger build comes later, once the entry proves the lift.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67D4B"/>
                <w:sz w:val="32"/>
                <w:szCs w:val="32"/>
              </w:rPr>
              <w:t xml:space="preserve">The Roadmap</w:t>
            </w:r>
          </w:p>
        </w:tc>
      </w:tr>
    </w:tbl>
    <w:p>
      <w:pPr>
        <w:spacing w:after="80" w:before="120"/>
        <w:jc w:val="center"/>
      </w:pPr>
      <w:r>
        <w:drawing>
          <wp:inline distT="0" distB="0" distL="0" distR="0">
            <wp:extent cx="5715000" cy="3286125"/>
            <wp:effectExtent t="0" r="0" b="0" l="0"/>
            <wp:docPr id="1" name="Implementation Roadmap" descr="Implementation Roadmap" title="Implementation Road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Foundation (0–90 days) → Joint Pilot (90–180) → Scale (180–365)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  <w:tcMar>
              <w:top w:type="dxa" w:w="280"/>
              <w:left w:type="dxa" w:w="400"/>
              <w:bottom w:type="dxa" w:w="280"/>
              <w:right w:type="dxa" w:w="400"/>
            </w:tcMar>
          </w:tcPr>
          <w:p>
            <w:pPr>
              <w:spacing w:after="9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4"/>
                <w:szCs w:val="24"/>
              </w:rPr>
              <w:t xml:space="preserve">Two tracks, one local partner — five minutes away in the Spectrum.</w:t>
            </w:r>
          </w:p>
          <w:p>
            <w:pPr>
              <w:spacing w:after="70"/>
              <w:jc w:val="center"/>
            </w:pPr>
            <w:r>
              <w:rPr>
                <w:rFonts w:ascii="Open Sans" w:cs="Open Sans" w:eastAsia="Open Sans" w:hAnsi="Open Sans"/>
                <w:color w:val="FFFFFF"/>
                <w:sz w:val="20"/>
                <w:szCs w:val="20"/>
              </w:rPr>
              <w:t xml:space="preserve">Use the Book a Meeting button in my signature to set up a time to discuss this and all the AI strategies Technijian is putting into place for itself and its clients.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FFFFFF"/>
                <w:sz w:val="20"/>
                <w:szCs w:val="20"/>
              </w:rPr>
              <w:t xml:space="preserve">Ravi Jain, Technijian  |  RJain@technijian.com  |  949.379.8499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80"/>
      <w:jc w:val="center"/>
    </w:pPr>
    <w:r>
      <w:rPr>
        <w:rFonts w:ascii="Open Sans" w:cs="Open Sans" w:eastAsia="Open Sans" w:hAnsi="Open Sans"/>
        <w:color w:val="59595B"/>
        <w:sz w:val="16"/>
        <w:szCs w:val="16"/>
      </w:rPr>
      <w:t xml:space="preserve">Technijian  |  Irvine, CA  |  949.379.8499  |  technijian.com  |  CONFIDENTIAL  |  Page </w:t>
    </w:r>
    <w:r>
      <w:rPr>
        <w:rFonts w:ascii="Open Sans" w:cs="Open Sans" w:eastAsia="Open Sans" w:hAnsi="Open Sans"/>
        <w:color w:val="59595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Open Sans" w:cs="Open Sans" w:eastAsia="Open Sans" w:hAnsi="Open Sans"/>
        <w:color w:val="59595B"/>
        <w:sz w:val="16"/>
        <w:szCs w:val="16"/>
      </w:rPr>
      <w:t xml:space="preserve"> of </w:t>
    </w:r>
    <w:r>
      <w:rPr>
        <w:rFonts w:ascii="Open Sans" w:cs="Open Sans" w:eastAsia="Open Sans" w:hAnsi="Open Sans"/>
        <w:color w:val="59595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2400"/>
      <w:gridCol w:w="696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15240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single" w:color="006DB6" w:sz="6"/>
            <w:right w:val="none" w:color="FFFFFF" w:sz="0"/>
          </w:tcBorders>
          <w:vAlign w:val="bottom"/>
        </w:tcPr>
        <w:p>
          <w:pPr>
            <w:jc w:val="right"/>
          </w:pPr>
          <w:r>
            <w:rPr>
              <w:rFonts w:ascii="Open Sans" w:cs="Open Sans" w:eastAsia="Open Sans" w:hAnsi="Open Sans"/>
              <w:color w:val="59595B"/>
              <w:sz w:val="16"/>
              <w:szCs w:val="16"/>
            </w:rPr>
            <w:t xml:space="preserve">Executive Summary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59595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a411e2cba4fb0a0de5b42d0cbf546939e758dd.png"/><Relationship Id="rId10" Type="http://schemas.openxmlformats.org/officeDocument/2006/relationships/image" Target="media/f84db891118c24927b62d2bcfcc855658e14bbcb.png"/><Relationship Id="rId11" Type="http://schemas.openxmlformats.org/officeDocument/2006/relationships/image" Target="media/cdb3cbc8cacd4275602897a433d61ed638d0c03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da411e2cba4fb0a0de5b42d0cbf546939e758d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2026-05-30T22:44:17.038Z</dcterms:created>
  <dcterms:modified xsi:type="dcterms:W3CDTF">2026-05-30T22:44:17.040Z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