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79"/>
          <w:sz w:val="44"/>
          <w:szCs w:val="44"/>
        </w:rPr>
        <w:t xml:space="preserve">Hardware-Backed Certificate Authority on Cloud HSM</w:t>
      </w:r>
    </w:p>
    <w:p>
      <w:pPr>
        <w:spacing w:after="0" w:before="120"/>
        <w:jc w:val="center"/>
      </w:pPr>
      <w:r>
        <w:rPr>
          <w:b/>
          <w:bCs/>
          <w:color w:val="2E75B6"/>
          <w:sz w:val="30"/>
          <w:szCs w:val="30"/>
        </w:rPr>
        <w:t xml:space="preserve">AWS CloudHSM vs. Microsoft Azure Cloud HSM</w:t>
      </w:r>
    </w:p>
    <w:p>
      <w:pPr>
        <w:spacing w:after="0" w:before="80"/>
        <w:jc w:val="center"/>
      </w:pPr>
      <w:r>
        <w:rPr>
          <w:i/>
          <w:iCs/>
          <w:sz w:val="26"/>
          <w:szCs w:val="26"/>
        </w:rPr>
        <w:t xml:space="preserve">Cost Analysis and Implementation Guide</w:t>
      </w:r>
    </w:p>
    <w:p>
      <w:pPr>
        <w:spacing w:after="0" w:before="520"/>
        <w:jc w:val="center"/>
      </w:pPr>
      <w:r>
        <w:rPr>
          <w:sz w:val="22"/>
          <w:szCs w:val="22"/>
        </w:rPr>
        <w:t xml:space="preserve">Prepared for evaluation by:</w:t>
      </w:r>
    </w:p>
    <w:p>
      <w:pPr>
        <w:spacing w:after="0" w:before="60"/>
        <w:jc w:val="center"/>
      </w:pPr>
      <w:r>
        <w:rPr>
          <w:b/>
          <w:bCs/>
          <w:sz w:val="22"/>
          <w:szCs w:val="22"/>
        </w:rPr>
        <w:t xml:space="preserve">CardLogix (reseller)  •  Technijian (implementation &amp; managed support)</w:t>
      </w:r>
    </w:p>
    <w:p>
      <w:pPr>
        <w:spacing w:after="0" w:before="520"/>
        <w:jc w:val="center"/>
      </w:pPr>
      <w:r>
        <w:rPr>
          <w:color w:val="666666"/>
          <w:sz w:val="20"/>
          <w:szCs w:val="20"/>
        </w:rPr>
        <w:t xml:space="preserve">Document version 1.0  •  Pricing current as of May 2026</w:t>
      </w:r>
    </w:p>
    <w:p>
      <w:pPr>
        <w:spacing w:after="0" w:before="40"/>
        <w:jc w:val="center"/>
      </w:pPr>
      <w:r>
        <w:rPr>
          <w:i/>
          <w:iCs/>
          <w:color w:val="888888"/>
          <w:sz w:val="18"/>
          <w:szCs w:val="18"/>
        </w:rPr>
        <w:t xml:space="preserve">All figures are list-price estimates and must be validated against live provider pricing.</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1. Executive Summary</w:t>
      </w:r>
    </w:p>
    <w:p>
      <w:pPr>
        <w:spacing w:after="120" w:before="0" w:line="276"/>
      </w:pPr>
      <w:r>
        <w:t xml:space="preserve">This document evaluates two cloud-based Hardware Security Module (HSM) services — AWS CloudHSM and Microsoft Azure Cloud HSM — as the cryptographic foundation for a managed Certificate Authority (CA) offering. The intended commercial model is that CardLogix resells the service alongside its smart card products, and Technijian implements and provides ongoing managed support.</w:t>
      </w:r>
    </w:p>
    <w:p>
      <w:pPr>
        <w:spacing w:after="120" w:before="0" w:line="276"/>
      </w:pPr>
      <w:r>
        <w:t xml:space="preserve">The underlying need is straightforward: customers use CardLogix smart cards and tokens as certificate-based authenticators (functionally similar to a YubiKey) for Windows logon, VPN, document signing, and multi-factor authentication. Those credentials are issued by a Microsoft Active Directory Certificate Services (AD CS) CA. The security of the entire system depends on protecting the CA’s signing key. Today that key commonly lives in software on a Windows server; if that server is breached, an attacker can copy the key and forge certificates for any user — a total compromise. Storing the CA signing key in an HSM removes that risk: the key is generated inside tamper-resistant hardware and can never be extracted.</w:t>
      </w:r>
    </w:p>
    <w:p>
      <w:pPr>
        <w:spacing w:after="120" w:before="0" w:line="276"/>
      </w:pPr>
      <w:r>
        <w:t xml:space="preserve">Both AWS and Azure cloud HSM services are appropriate for this purpose. Each provides </w:t>
      </w:r>
      <w:r>
        <w:rPr>
          <w:b/>
          <w:bCs/>
        </w:rPr>
        <w:t xml:space="preserve">single-tenant, FIPS 140-3 Level 3</w:t>
      </w:r>
      <w:r>
        <w:t xml:space="preserve"> validated HSMs, full customer control of keys, and native support for AD CS through a Windows Key Storage Provider (KSP). They differ primarily on cost, on the surrounding cloud ecosystem, and on operational details.</w:t>
      </w:r>
    </w:p>
    <w:p>
      <w:pPr>
        <w:pStyle w:val="Heading3"/>
        <w:spacing w:after="100" w:before="180"/>
      </w:pPr>
      <w:r>
        <w:t xml:space="preserve">Headline recommendation</w:t>
      </w:r>
    </w:p>
    <w:p>
      <w:pPr>
        <w:pStyle w:val="ListParagraph"/>
        <w:numPr>
          <w:ilvl w:val="0"/>
          <w:numId w:val="2"/>
        </w:numPr>
        <w:spacing w:after="80" w:line="276"/>
      </w:pPr>
      <w:r>
        <w:t xml:space="preserve">AWS CloudHSM is the recommended primary platform on cost and fit: roughly $2,300/month for a production high-availability deployment, with mature, well-documented AD CS integration.</w:t>
      </w:r>
    </w:p>
    <w:p>
      <w:pPr>
        <w:pStyle w:val="ListParagraph"/>
        <w:numPr>
          <w:ilvl w:val="0"/>
          <w:numId w:val="2"/>
        </w:numPr>
        <w:spacing w:after="80" w:line="276"/>
      </w:pPr>
      <w:r>
        <w:t xml:space="preserve">Azure Cloud HSM is the recommended option when the end customer is already an Azure / Microsoft-centric environment; it is equally capable but materially more expensive (roughly $3,800/month for a comparable deployment).</w:t>
      </w:r>
    </w:p>
    <w:p>
      <w:pPr>
        <w:pStyle w:val="ListParagraph"/>
        <w:numPr>
          <w:ilvl w:val="0"/>
          <w:numId w:val="2"/>
        </w:numPr>
        <w:spacing w:after="80" w:line="276"/>
      </w:pPr>
      <w:r>
        <w:t xml:space="preserve">In both cases the CA is best located on a cloud virtual machine adjacent to the HSM, with a private network link back to the customer’s on-premises Active Directory for enrolment and certificate distribution.</w:t>
      </w:r>
    </w:p>
    <w:p>
      <w:pPr>
        <w:pStyle w:val="Heading1"/>
        <w:spacing w:after="160" w:before="280"/>
      </w:pPr>
      <w:r>
        <w:t xml:space="preserve">2. Background: The Problem Being Solved</w:t>
      </w:r>
    </w:p>
    <w:p>
      <w:pPr>
        <w:spacing w:after="120" w:before="0" w:line="276"/>
      </w:pPr>
      <w:r>
        <w:t xml:space="preserve">A certificate-based smart card stores a private key and a digital certificate. The private key never leaves the card — which is why a stolen certificate (the public half) is harmless on its own. The components that must be protected are the private keys, and there are two of them that matter:</w:t>
      </w:r>
    </w:p>
    <w:p>
      <w:pPr>
        <w:pStyle w:val="ListParagraph"/>
        <w:numPr>
          <w:ilvl w:val="0"/>
          <w:numId w:val="2"/>
        </w:numPr>
        <w:spacing w:after="80" w:line="276"/>
      </w:pPr>
      <w:r>
        <w:t xml:space="preserve">The cardholder’s private key. Generated on the card itself and marked non-exportable. This is already handled correctly in the current design — a server breach cannot expose a key that was never on the server.</w:t>
      </w:r>
    </w:p>
    <w:p>
      <w:pPr>
        <w:pStyle w:val="ListParagraph"/>
        <w:numPr>
          <w:ilvl w:val="0"/>
          <w:numId w:val="2"/>
        </w:numPr>
        <w:spacing w:after="80" w:line="276"/>
      </w:pPr>
      <w:r>
        <w:t xml:space="preserve">The CA’s signing key. The key the CA uses to sign every certificate it issues. This is the crown jewel. If it is stored in software on the CA server and that server is breached, the attacker can forge certificates for anyone in the organisation.</w:t>
      </w:r>
    </w:p>
    <w:p>
      <w:pPr>
        <w:spacing w:after="120" w:before="0" w:line="276"/>
      </w:pPr>
      <w:r>
        <w:t xml:space="preserve">Moving the CA signing key into an HSM closes that gap. The HSM generates the key internally; the CA server can ask the HSM to sign, but can never read the key out. A compromised server can be rebuilt; the signing key remains sealed. This is Microsoft’s own recommended practice for protecting a CA key.</w:t>
      </w:r>
    </w:p>
    <w:p>
      <w:pPr>
        <w:spacing w:after="120" w:before="0" w:line="276"/>
      </w:pPr>
      <w:r>
        <w:t xml:space="preserve">A cloud HSM provides this protection as a managed service — no physical appliance to buy, rack, or maintain, with provider-managed availability and backup. The trade-off is that the CA must reach the HSM over a network connection, which shapes the architecture described below.</w:t>
      </w:r>
    </w:p>
    <w:p>
      <w:pPr>
        <w:pStyle w:val="Heading1"/>
        <w:spacing w:after="160" w:before="280"/>
      </w:pPr>
      <w:r>
        <w:t xml:space="preserve">3. Solution Overview and Scope</w:t>
      </w:r>
    </w:p>
    <w:p>
      <w:pPr>
        <w:spacing w:after="120" w:before="0" w:line="276"/>
      </w:pPr>
      <w:r>
        <w:t xml:space="preserve">Both candidate services were assessed against the requirement that they serve as the AD CS CA key store through a Windows CNG Key Storage Provider. A third option, Google Cloud HSM, was evaluated and excluded: Google’s Windows CNG provider is documented for code signing rather than the AD CS CA role, and Google’s intended path for running a CA is its own managed Certificate Authority Service, which would replace AD CS rather than protect it. AWS and Azure both support the AD CS CA role natively, and are therefore the two options carried forward.</w:t>
      </w:r>
    </w:p>
    <w:p>
      <w:pPr>
        <w:pStyle w:val="Heading3"/>
        <w:spacing w:after="100" w:before="180"/>
      </w:pPr>
      <w:r>
        <w:t xml:space="preserve">Common reference architecture</w:t>
      </w:r>
    </w:p>
    <w:p>
      <w:pPr>
        <w:spacing w:after="120" w:before="0" w:line="276"/>
      </w:pPr>
      <w:r>
        <w:t xml:space="preserve">Regardless of provider, the recommended design is the same:</w:t>
      </w:r>
    </w:p>
    <w:p>
      <w:pPr>
        <w:pStyle w:val="ListParagraph"/>
        <w:numPr>
          <w:ilvl w:val="0"/>
          <w:numId w:val="2"/>
        </w:numPr>
        <w:spacing w:after="80" w:line="276"/>
      </w:pPr>
      <w:r>
        <w:t xml:space="preserve">An offline Root CA whose key is held offline (air-gapped or in a separate offline HSM) and used only to sign the issuing CA. This limits blast radius — if the online CA is ever compromised, the root can revoke it and the trust chain is rebuilt.</w:t>
      </w:r>
    </w:p>
    <w:p>
      <w:pPr>
        <w:pStyle w:val="ListParagraph"/>
        <w:numPr>
          <w:ilvl w:val="0"/>
          <w:numId w:val="2"/>
        </w:numPr>
        <w:spacing w:after="80" w:line="276"/>
      </w:pPr>
      <w:r>
        <w:t xml:space="preserve">An online Issuing CA running on a Windows Server virtual machine in the cloud, with its signing key generated in and stored on the cloud HSM via the provider’s KSP.</w:t>
      </w:r>
    </w:p>
    <w:p>
      <w:pPr>
        <w:pStyle w:val="ListParagraph"/>
        <w:numPr>
          <w:ilvl w:val="0"/>
          <w:numId w:val="2"/>
        </w:numPr>
        <w:spacing w:after="80" w:line="276"/>
      </w:pPr>
      <w:r>
        <w:t xml:space="preserve">A high-availability HSM configuration so a single hardware or zone failure does not stop certificate issuance.</w:t>
      </w:r>
    </w:p>
    <w:p>
      <w:pPr>
        <w:pStyle w:val="ListParagraph"/>
        <w:numPr>
          <w:ilvl w:val="0"/>
          <w:numId w:val="2"/>
        </w:numPr>
        <w:spacing w:after="80" w:line="276"/>
      </w:pPr>
      <w:r>
        <w:t xml:space="preserve">A private network link (VPN or dedicated circuit) between the cloud environment and the customer’s on-premises Active Directory, so domain enrolment, CRL/OCSP publication, and smart card issuance work seamlessly.</w:t>
      </w:r>
    </w:p>
    <w:p>
      <w:pPr>
        <w:pStyle w:val="ListParagraph"/>
        <w:numPr>
          <w:ilvl w:val="0"/>
          <w:numId w:val="2"/>
        </w:numPr>
        <w:spacing w:after="80" w:line="276"/>
      </w:pPr>
      <w:r>
        <w:t xml:space="preserve">CardLogix smart cards enrolled through the Windows minidriver, with each cardholder key generated on the card and the resulting certificate signed by the issuing CA.</w:t>
      </w:r>
    </w:p>
    <w:p>
      <w:pPr>
        <w:spacing w:after="120" w:before="0" w:line="276"/>
      </w:pPr>
      <w:r>
        <w:rPr>
          <w:i/>
          <w:iCs/>
        </w:rPr>
        <w:t xml:space="preserve">Because the CA signing key is currently in software, the migration approach is to build a fresh CA with a new key generated inside the HSM — not to import the existing key, which must be treated as potentially already exposed — then re-issue cards and retire the old CA.</w:t>
      </w:r>
    </w:p>
    <w:p>
      <w:pPr>
        <w:pStyle w:val="Heading1"/>
        <w:pageBreakBefore/>
      </w:pPr>
      <w:r>
        <w:t xml:space="preserve">4. AWS CloudHSM</w:t>
      </w:r>
    </w:p>
    <w:p>
      <w:pPr>
        <w:pStyle w:val="Heading2"/>
        <w:spacing w:after="120" w:before="220"/>
      </w:pPr>
      <w:r>
        <w:t xml:space="preserve">4.1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Attribute</w:t>
            </w:r>
          </w:p>
        </w:tc>
        <w:tc>
          <w:tcPr>
            <w:tcW w:type="dxa" w:w="696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AWS CloudHSM</w:t>
            </w:r>
          </w:p>
        </w:tc>
      </w:tr>
      <w:tr>
        <w:tc>
          <w:tcPr>
            <w:tcW w:type="dxa" w:w="24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Tenancy</w:t>
            </w:r>
          </w:p>
        </w:tc>
        <w:tc>
          <w:tcPr>
            <w:tcW w:type="dxa" w:w="6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Single-tenant, customer-owned HSMs running inside your own Virtual Private Cloud (VPC)</w:t>
            </w:r>
          </w:p>
        </w:tc>
      </w:tr>
      <w:tr>
        <w:tc>
          <w:tcPr>
            <w:tcW w:type="dxa" w:w="24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Validation</w:t>
            </w:r>
          </w:p>
        </w:tc>
        <w:tc>
          <w:tcPr>
            <w:tcW w:type="dxa" w:w="6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FIPS 140-3 Level 3 (current hsm2m.medium instance type, CMVP Cert. #4703)</w:t>
            </w:r>
          </w:p>
        </w:tc>
      </w:tr>
      <w:tr>
        <w:tc>
          <w:tcPr>
            <w:tcW w:type="dxa" w:w="24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AD CS support</w:t>
            </w:r>
          </w:p>
        </w:tc>
        <w:tc>
          <w:tcPr>
            <w:tcW w:type="dxa" w:w="6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Native. Windows client includes a CNG/KSP provider; CA key is generated and stored on the cluster</w:t>
            </w:r>
          </w:p>
        </w:tc>
      </w:tr>
      <w:tr>
        <w:tc>
          <w:tcPr>
            <w:tcW w:type="dxa" w:w="24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High availability</w:t>
            </w:r>
          </w:p>
        </w:tc>
        <w:tc>
          <w:tcPr>
            <w:tcW w:type="dxa" w:w="6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Cluster of 2+ HSMs across Availability Zones; client load-balances and fails over automatically</w:t>
            </w:r>
          </w:p>
        </w:tc>
      </w:tr>
      <w:tr>
        <w:tc>
          <w:tcPr>
            <w:tcW w:type="dxa" w:w="24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Backup</w:t>
            </w:r>
          </w:p>
        </w:tc>
        <w:tc>
          <w:tcPr>
            <w:tcW w:type="dxa" w:w="6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Automatic, encrypted cluster backups managed by AWS; supports restore to a new cluster</w:t>
            </w:r>
          </w:p>
        </w:tc>
      </w:tr>
      <w:tr>
        <w:tc>
          <w:tcPr>
            <w:tcW w:type="dxa" w:w="24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Key control</w:t>
            </w:r>
          </w:p>
        </w:tc>
        <w:tc>
          <w:tcPr>
            <w:tcW w:type="dxa" w:w="6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Customer holds crypto-officer and crypto-user credentials; AWS has no access to key material</w:t>
            </w:r>
          </w:p>
        </w:tc>
      </w:tr>
    </w:tbl>
    <w:p>
      <w:pPr>
        <w:pStyle w:val="Heading2"/>
        <w:spacing w:after="120" w:before="220"/>
      </w:pPr>
      <w:r>
        <w:t xml:space="preserve">4.2 Implementation steps</w:t>
      </w:r>
    </w:p>
    <w:p>
      <w:pPr>
        <w:spacing w:after="120" w:before="0" w:line="276"/>
      </w:pPr>
      <w:r>
        <w:t xml:space="preserve">The following is the implementation outline for the issuing CA on AWS CloudHSM. Technijian would perform these steps.</w:t>
      </w:r>
    </w:p>
    <w:p>
      <w:pPr>
        <w:pStyle w:val="ListParagraph"/>
        <w:numPr>
          <w:ilvl w:val="0"/>
          <w:numId w:val="3"/>
        </w:numPr>
        <w:spacing w:after="90" w:line="276"/>
      </w:pPr>
      <w:r>
        <w:t xml:space="preserve">Create (or use an existing) VPC with private subnets in at least two Availability Zones.</w:t>
      </w:r>
    </w:p>
    <w:p>
      <w:pPr>
        <w:pStyle w:val="ListParagraph"/>
        <w:numPr>
          <w:ilvl w:val="0"/>
          <w:numId w:val="3"/>
        </w:numPr>
        <w:spacing w:after="90" w:line="276"/>
      </w:pPr>
      <w:r>
        <w:t xml:space="preserve">Create a CloudHSM cluster in FIPS mode and add two HSMs, one per Availability Zone, for high availability.</w:t>
      </w:r>
    </w:p>
    <w:p>
      <w:pPr>
        <w:pStyle w:val="ListParagraph"/>
        <w:numPr>
          <w:ilvl w:val="0"/>
          <w:numId w:val="3"/>
        </w:numPr>
        <w:spacing w:after="90" w:line="276"/>
      </w:pPr>
      <w:r>
        <w:t xml:space="preserve">Initialise the cluster: generate and sign the cluster certificate signing request, install the cluster certificate, and configure the first crypto officer (CO).</w:t>
      </w:r>
    </w:p>
    <w:p>
      <w:pPr>
        <w:pStyle w:val="ListParagraph"/>
        <w:numPr>
          <w:ilvl w:val="0"/>
          <w:numId w:val="3"/>
        </w:numPr>
        <w:spacing w:after="90" w:line="276"/>
      </w:pPr>
      <w:r>
        <w:t xml:space="preserve">Launch a Windows Server EC2 instance in the VPC to host the issuing CA.</w:t>
      </w:r>
    </w:p>
    <w:p>
      <w:pPr>
        <w:pStyle w:val="ListParagraph"/>
        <w:numPr>
          <w:ilvl w:val="0"/>
          <w:numId w:val="3"/>
        </w:numPr>
        <w:spacing w:after="90" w:line="276"/>
      </w:pPr>
      <w:r>
        <w:t xml:space="preserve">Install the AWS CloudHSM Client (the SDK that provides the CNG and KSP providers) on the Windows server and point it at the cluster.</w:t>
      </w:r>
    </w:p>
    <w:p>
      <w:pPr>
        <w:pStyle w:val="ListParagraph"/>
        <w:numPr>
          <w:ilvl w:val="0"/>
          <w:numId w:val="3"/>
        </w:numPr>
        <w:spacing w:after="90" w:line="276"/>
      </w:pPr>
      <w:r>
        <w:t xml:space="preserve">Create a crypto user (CU) on the HSM that the CA will use to own and operate its signing key.</w:t>
      </w:r>
    </w:p>
    <w:p>
      <w:pPr>
        <w:pStyle w:val="ListParagraph"/>
        <w:numPr>
          <w:ilvl w:val="0"/>
          <w:numId w:val="3"/>
        </w:numPr>
        <w:spacing w:after="90" w:line="276"/>
      </w:pPr>
      <w:r>
        <w:t xml:space="preserve">Register the AWS CloudHSM Key Storage Provider on the Windows server.</w:t>
      </w:r>
    </w:p>
    <w:p>
      <w:pPr>
        <w:pStyle w:val="ListParagraph"/>
        <w:numPr>
          <w:ilvl w:val="0"/>
          <w:numId w:val="3"/>
        </w:numPr>
        <w:spacing w:after="90" w:line="276"/>
      </w:pPr>
      <w:r>
        <w:t xml:space="preserve">Add the AD CS role. During configuration, select the AWS CloudHSM KSP so the CA private key is generated inside the HSM. Configure this server as the Subordinate (issuing) CA beneath the offline root.</w:t>
      </w:r>
    </w:p>
    <w:p>
      <w:pPr>
        <w:pStyle w:val="ListParagraph"/>
        <w:numPr>
          <w:ilvl w:val="0"/>
          <w:numId w:val="3"/>
        </w:numPr>
        <w:spacing w:after="90" w:line="276"/>
      </w:pPr>
      <w:r>
        <w:t xml:space="preserve">Configure the CA: validity periods, CRL/OCSP distribution points (CDP/AIA), and certificate templates such as Smartcard Logon (with a hardware KSP and non-exportable keys, UPN in the Subject Alternative Name).</w:t>
      </w:r>
    </w:p>
    <w:p>
      <w:pPr>
        <w:pStyle w:val="ListParagraph"/>
        <w:numPr>
          <w:ilvl w:val="0"/>
          <w:numId w:val="3"/>
        </w:numPr>
        <w:spacing w:after="90" w:line="276"/>
      </w:pPr>
      <w:r>
        <w:t xml:space="preserve">Establish connectivity to the customer’s on-premises network using AWS Site-to-Site VPN or AWS Direct Connect so domain enrolment and CRL retrieval function.</w:t>
      </w:r>
    </w:p>
    <w:p>
      <w:pPr>
        <w:pStyle w:val="ListParagraph"/>
        <w:numPr>
          <w:ilvl w:val="0"/>
          <w:numId w:val="3"/>
        </w:numPr>
        <w:spacing w:after="90" w:line="276"/>
      </w:pPr>
      <w:r>
        <w:t xml:space="preserve">Confirm automatic cluster backup is enabled and document the restore procedure and crypto-officer custody.</w:t>
      </w:r>
    </w:p>
    <w:p>
      <w:pPr>
        <w:pStyle w:val="ListParagraph"/>
        <w:numPr>
          <w:ilvl w:val="0"/>
          <w:numId w:val="3"/>
        </w:numPr>
        <w:spacing w:after="90" w:line="276"/>
      </w:pPr>
      <w:r>
        <w:t xml:space="preserve">Enrol CardLogix smart cards through the minidriver — keys generated on the card, certificates signed by the issuing CA.</w:t>
      </w:r>
    </w:p>
    <w:p>
      <w:pPr>
        <w:pStyle w:val="Heading2"/>
        <w:spacing w:after="120" w:before="220"/>
      </w:pPr>
      <w:r>
        <w:t xml:space="preserve">4.3 Cost breakdown (illustrative, list price)</w:t>
      </w:r>
    </w:p>
    <w:p>
      <w:pPr>
        <w:spacing w:after="120" w:before="0" w:line="276"/>
      </w:pPr>
      <w:r>
        <w:t xml:space="preserve">Assumes a production high-availability deployment running 24/7 in a US region. CloudHSM is billed per HSM-hour with no upfront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960"/>
        <w:gridCol w:w="1700"/>
      </w:tblGrid>
      <w:tr>
        <w:trPr>
          <w:tblHeader/>
        </w:trPr>
        <w:tc>
          <w:tcPr>
            <w:tcW w:type="dxa" w:w="37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Component</w:t>
            </w:r>
          </w:p>
        </w:tc>
        <w:tc>
          <w:tcPr>
            <w:tcW w:type="dxa" w:w="396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Basis</w:t>
            </w:r>
          </w:p>
        </w:tc>
        <w:tc>
          <w:tcPr>
            <w:tcW w:type="dxa" w:w="17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Est. monthly (USD)</w:t>
            </w:r>
          </w:p>
        </w:tc>
      </w:tr>
      <w:tr>
        <w:tc>
          <w:tcPr>
            <w:tcW w:type="dxa" w:w="3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CloudHSM – HSM #1</w:t>
            </w:r>
          </w:p>
        </w:tc>
        <w:tc>
          <w:tcPr>
            <w:tcW w:type="dxa" w:w="3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hsm2m.medium @ ~$1.45/hr × 730 hrs</w:t>
            </w:r>
          </w:p>
        </w:tc>
        <w:tc>
          <w:tcPr>
            <w:tcW w:type="dxa" w:w="1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$1,060</w:t>
            </w:r>
          </w:p>
        </w:tc>
      </w:tr>
      <w:tr>
        <w:tc>
          <w:tcPr>
            <w:tcW w:type="dxa" w:w="3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CloudHSM – HSM #2 (HA)</w:t>
            </w:r>
          </w:p>
        </w:tc>
        <w:tc>
          <w:tcPr>
            <w:tcW w:type="dxa" w:w="3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Second HSM for high availability</w:t>
            </w:r>
          </w:p>
        </w:tc>
        <w:tc>
          <w:tcPr>
            <w:tcW w:type="dxa" w:w="1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$1,060</w:t>
            </w:r>
          </w:p>
        </w:tc>
      </w:tr>
      <w:tr>
        <w:tc>
          <w:tcPr>
            <w:tcW w:type="dxa" w:w="3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CA virtual machine</w:t>
            </w:r>
          </w:p>
        </w:tc>
        <w:tc>
          <w:tcPr>
            <w:tcW w:type="dxa" w:w="3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Windows Server EC2 (e.g. t3.large)</w:t>
            </w:r>
          </w:p>
        </w:tc>
        <w:tc>
          <w:tcPr>
            <w:tcW w:type="dxa" w:w="1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$100</w:t>
            </w:r>
          </w:p>
        </w:tc>
      </w:tr>
      <w:tr>
        <w:tc>
          <w:tcPr>
            <w:tcW w:type="dxa" w:w="3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Networking</w:t>
            </w:r>
          </w:p>
        </w:tc>
        <w:tc>
          <w:tcPr>
            <w:tcW w:type="dxa" w:w="3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Site-to-Site VPN connection + modest data transfer</w:t>
            </w:r>
          </w:p>
        </w:tc>
        <w:tc>
          <w:tcPr>
            <w:tcW w:type="dxa" w:w="1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$45</w:t>
            </w:r>
          </w:p>
        </w:tc>
      </w:tr>
      <w:tr>
        <w:tc>
          <w:tcPr>
            <w:tcW w:type="dxa" w:w="3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Storage</w:t>
            </w:r>
          </w:p>
        </w:tc>
        <w:tc>
          <w:tcPr>
            <w:tcW w:type="dxa" w:w="3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EBS volume for CA database and logs</w:t>
            </w:r>
          </w:p>
        </w:tc>
        <w:tc>
          <w:tcPr>
            <w:tcW w:type="dxa" w:w="1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$25</w:t>
            </w:r>
          </w:p>
        </w:tc>
      </w:tr>
      <w:tr>
        <w:tc>
          <w:tcPr>
            <w:tcW w:type="dxa" w:w="3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Subtotal (infrastructure)</w:t>
            </w:r>
          </w:p>
        </w:tc>
        <w:tc>
          <w:tcPr>
            <w:tcW w:type="dxa" w:w="3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
            </w:r>
          </w:p>
        </w:tc>
        <w:tc>
          <w:tcPr>
            <w:tcW w:type="dxa" w:w="1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~$2,290 / month</w:t>
            </w:r>
          </w:p>
        </w:tc>
      </w:tr>
      <w:tr>
        <w:tc>
          <w:tcPr>
            <w:tcW w:type="dxa" w:w="3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Annualised</w:t>
            </w:r>
          </w:p>
        </w:tc>
        <w:tc>
          <w:tcPr>
            <w:tcW w:type="dxa" w:w="3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
            </w:r>
          </w:p>
        </w:tc>
        <w:tc>
          <w:tcPr>
            <w:tcW w:type="dxa" w:w="1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~$27,500 / year</w:t>
            </w:r>
          </w:p>
        </w:tc>
      </w:tr>
    </w:tbl>
    <w:p>
      <w:pPr>
        <w:spacing w:after="120" w:before="0" w:line="276"/>
      </w:pPr>
      <w:r>
        <w:rPr>
          <w:i/>
          <w:iCs/>
          <w:sz w:val="20"/>
          <w:szCs w:val="20"/>
        </w:rPr>
        <w:t xml:space="preserve">Excludes: AWS support plan (Business support is billed as the greater of ~$100/month or a percentage of spend), applicable taxes, and Technijian’s managed-service fee. The single largest cost driver is the HSM pair; a non-HA single-HSM configuration roughly halves the HSM cost but is not recommended for production.</w:t>
      </w:r>
    </w:p>
    <w:p>
      <w:pPr>
        <w:pStyle w:val="Heading1"/>
        <w:pageBreakBefore/>
      </w:pPr>
      <w:r>
        <w:t xml:space="preserve">5. Microsoft Azure Cloud HSM</w:t>
      </w:r>
    </w:p>
    <w:p>
      <w:pPr>
        <w:pStyle w:val="Heading2"/>
        <w:spacing w:after="120" w:before="220"/>
      </w:pPr>
      <w:r>
        <w:t xml:space="preserve">5.1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Attribute</w:t>
            </w:r>
          </w:p>
        </w:tc>
        <w:tc>
          <w:tcPr>
            <w:tcW w:type="dxa" w:w="696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Azure Cloud HSM</w:t>
            </w:r>
          </w:p>
        </w:tc>
      </w:tr>
      <w:tr>
        <w:tc>
          <w:tcPr>
            <w:tcW w:type="dxa" w:w="24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Tenancy</w:t>
            </w:r>
          </w:p>
        </w:tc>
        <w:tc>
          <w:tcPr>
            <w:tcW w:type="dxa" w:w="6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Single-tenant, customer-owned HSM cluster; customer holds full administrative authority</w:t>
            </w:r>
          </w:p>
        </w:tc>
      </w:tr>
      <w:tr>
        <w:tc>
          <w:tcPr>
            <w:tcW w:type="dxa" w:w="24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Validation</w:t>
            </w:r>
          </w:p>
        </w:tc>
        <w:tc>
          <w:tcPr>
            <w:tcW w:type="dxa" w:w="6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FIPS 140-3 Level 3 validated</w:t>
            </w:r>
          </w:p>
        </w:tc>
      </w:tr>
      <w:tr>
        <w:tc>
          <w:tcPr>
            <w:tcW w:type="dxa" w:w="24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AD CS support</w:t>
            </w:r>
          </w:p>
        </w:tc>
        <w:tc>
          <w:tcPr>
            <w:tcW w:type="dxa" w:w="6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Native. Lists AD CS and CA private-key protection as supported applications via CNG/KSP</w:t>
            </w:r>
          </w:p>
        </w:tc>
      </w:tr>
      <w:tr>
        <w:tc>
          <w:tcPr>
            <w:tcW w:type="dxa" w:w="24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High availability</w:t>
            </w:r>
          </w:p>
        </w:tc>
        <w:tc>
          <w:tcPr>
            <w:tcW w:type="dxa" w:w="6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Highly available managed cluster; HA topology and node count confirmed at provisioning</w:t>
            </w:r>
          </w:p>
        </w:tc>
      </w:tr>
      <w:tr>
        <w:tc>
          <w:tcPr>
            <w:tcW w:type="dxa" w:w="24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Backup</w:t>
            </w:r>
          </w:p>
        </w:tc>
        <w:tc>
          <w:tcPr>
            <w:tcW w:type="dxa" w:w="6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HSM backup and key export under wrap with M-of-N custodians per Azure Cloud HSM procedures</w:t>
            </w:r>
          </w:p>
        </w:tc>
      </w:tr>
      <w:tr>
        <w:tc>
          <w:tcPr>
            <w:tcW w:type="dxa" w:w="24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Key control</w:t>
            </w:r>
          </w:p>
        </w:tc>
        <w:tc>
          <w:tcPr>
            <w:tcW w:type="dxa" w:w="6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Fully managed service; customer retains administrative and cryptographic control of keys</w:t>
            </w:r>
          </w:p>
        </w:tc>
      </w:tr>
      <w:tr>
        <w:tc>
          <w:tcPr>
            <w:tcW w:type="dxa" w:w="24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Note</w:t>
            </w:r>
          </w:p>
        </w:tc>
        <w:tc>
          <w:tcPr>
            <w:tcW w:type="dxa" w:w="6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Azure Cloud HSM is the strategic successor to the older Azure Dedicated HSM (Thales Luna 7) offering</w:t>
            </w:r>
          </w:p>
        </w:tc>
      </w:tr>
    </w:tbl>
    <w:p>
      <w:pPr>
        <w:pStyle w:val="Heading2"/>
        <w:spacing w:after="120" w:before="220"/>
      </w:pPr>
      <w:r>
        <w:t xml:space="preserve">5.2 Implementation steps</w:t>
      </w:r>
    </w:p>
    <w:p>
      <w:pPr>
        <w:spacing w:after="120" w:before="0" w:line="276"/>
      </w:pPr>
      <w:r>
        <w:t xml:space="preserve">Implementation parallels the AWS flow; the differences are in the Azure-specific provisioning and client tooling.</w:t>
      </w:r>
    </w:p>
    <w:p>
      <w:pPr>
        <w:pStyle w:val="ListParagraph"/>
        <w:numPr>
          <w:ilvl w:val="0"/>
          <w:numId w:val="4"/>
        </w:numPr>
        <w:spacing w:after="90" w:line="276"/>
      </w:pPr>
      <w:r>
        <w:t xml:space="preserve">Provision an Azure Cloud HSM resource (Standard B1) in the target region. This deploys a single-tenant HSM cluster under your administration.</w:t>
      </w:r>
    </w:p>
    <w:p>
      <w:pPr>
        <w:pStyle w:val="ListParagraph"/>
        <w:numPr>
          <w:ilvl w:val="0"/>
          <w:numId w:val="4"/>
        </w:numPr>
        <w:spacing w:after="90" w:line="276"/>
      </w:pPr>
      <w:r>
        <w:t xml:space="preserve">Complete HSM onboarding: establish the security officer credentials and partition, and initialise per the Azure Cloud HSM onboarding procedure.</w:t>
      </w:r>
    </w:p>
    <w:p>
      <w:pPr>
        <w:pStyle w:val="ListParagraph"/>
        <w:numPr>
          <w:ilvl w:val="0"/>
          <w:numId w:val="4"/>
        </w:numPr>
        <w:spacing w:after="90" w:line="276"/>
      </w:pPr>
      <w:r>
        <w:t xml:space="preserve">Create an Azure Virtual Network (VNet) and deploy a Windows Server VM to host the issuing CA, with private connectivity to the HSM.</w:t>
      </w:r>
    </w:p>
    <w:p>
      <w:pPr>
        <w:pStyle w:val="ListParagraph"/>
        <w:numPr>
          <w:ilvl w:val="0"/>
          <w:numId w:val="4"/>
        </w:numPr>
        <w:spacing w:after="90" w:line="276"/>
      </w:pPr>
      <w:r>
        <w:t xml:space="preserve">Install the Azure Cloud HSM client SDK and CNG/KSP provider on the VM and configure it to reach the HSM cluster.</w:t>
      </w:r>
    </w:p>
    <w:p>
      <w:pPr>
        <w:pStyle w:val="ListParagraph"/>
        <w:numPr>
          <w:ilvl w:val="0"/>
          <w:numId w:val="4"/>
        </w:numPr>
        <w:spacing w:after="90" w:line="276"/>
      </w:pPr>
      <w:r>
        <w:t xml:space="preserve">Create the crypto user/role on the HSM for the CA’s signing key.</w:t>
      </w:r>
    </w:p>
    <w:p>
      <w:pPr>
        <w:pStyle w:val="ListParagraph"/>
        <w:numPr>
          <w:ilvl w:val="0"/>
          <w:numId w:val="4"/>
        </w:numPr>
        <w:spacing w:after="90" w:line="276"/>
      </w:pPr>
      <w:r>
        <w:t xml:space="preserve">Add the AD CS role. During configuration, select the Azure Cloud HSM KSP so the CA private key is generated inside the HSM. Configure as the Subordinate (issuing) CA beneath the offline root.</w:t>
      </w:r>
    </w:p>
    <w:p>
      <w:pPr>
        <w:pStyle w:val="ListParagraph"/>
        <w:numPr>
          <w:ilvl w:val="0"/>
          <w:numId w:val="4"/>
        </w:numPr>
        <w:spacing w:after="90" w:line="276"/>
      </w:pPr>
      <w:r>
        <w:t xml:space="preserve">Configure CA settings, CDP/AIA endpoints, and certificate templates (Smartcard Logon, hardware KSP, non-exportable, UPN in SAN).</w:t>
      </w:r>
    </w:p>
    <w:p>
      <w:pPr>
        <w:pStyle w:val="ListParagraph"/>
        <w:numPr>
          <w:ilvl w:val="0"/>
          <w:numId w:val="4"/>
        </w:numPr>
        <w:spacing w:after="90" w:line="276"/>
      </w:pPr>
      <w:r>
        <w:t xml:space="preserve">Connect to the customer’s on-premises network via an Azure VPN Gateway or ExpressRoute for domain enrolment and CRL publication.</w:t>
      </w:r>
    </w:p>
    <w:p>
      <w:pPr>
        <w:pStyle w:val="ListParagraph"/>
        <w:numPr>
          <w:ilvl w:val="0"/>
          <w:numId w:val="4"/>
        </w:numPr>
        <w:spacing w:after="90" w:line="276"/>
      </w:pPr>
      <w:r>
        <w:t xml:space="preserve">Configure backup and disaster recovery per Azure Cloud HSM: HSM backup and wrapped key export with custodian key shares.</w:t>
      </w:r>
    </w:p>
    <w:p>
      <w:pPr>
        <w:pStyle w:val="ListParagraph"/>
        <w:numPr>
          <w:ilvl w:val="0"/>
          <w:numId w:val="4"/>
        </w:numPr>
        <w:spacing w:after="90" w:line="276"/>
      </w:pPr>
      <w:r>
        <w:t xml:space="preserve">Enrol CardLogix smart cards through the minidriver — keys generated on the card, certificates signed by the issuing CA.</w:t>
      </w:r>
    </w:p>
    <w:p>
      <w:pPr>
        <w:pStyle w:val="Heading2"/>
        <w:spacing w:after="120" w:before="220"/>
      </w:pPr>
      <w:r>
        <w:t xml:space="preserve">5.3 Cost breakdown (illustrative, list price)</w:t>
      </w:r>
    </w:p>
    <w:p>
      <w:pPr>
        <w:spacing w:after="120" w:before="0" w:line="276"/>
      </w:pPr>
      <w:r>
        <w:t xml:space="preserve">Assumes a production deployment running 24/7 in a US region. Azure Cloud HSM is billed per hour for the deployed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960"/>
        <w:gridCol w:w="1700"/>
      </w:tblGrid>
      <w:tr>
        <w:trPr>
          <w:tblHeader/>
        </w:trPr>
        <w:tc>
          <w:tcPr>
            <w:tcW w:type="dxa" w:w="37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Component</w:t>
            </w:r>
          </w:p>
        </w:tc>
        <w:tc>
          <w:tcPr>
            <w:tcW w:type="dxa" w:w="396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Basis</w:t>
            </w:r>
          </w:p>
        </w:tc>
        <w:tc>
          <w:tcPr>
            <w:tcW w:type="dxa" w:w="17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Est. monthly (USD)</w:t>
            </w:r>
          </w:p>
        </w:tc>
      </w:tr>
      <w:tr>
        <w:tc>
          <w:tcPr>
            <w:tcW w:type="dxa" w:w="3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Azure Cloud HSM</w:t>
            </w:r>
          </w:p>
        </w:tc>
        <w:tc>
          <w:tcPr>
            <w:tcW w:type="dxa" w:w="3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Standard B1 @ ~$4.80/hr × 730 hrs</w:t>
            </w:r>
          </w:p>
        </w:tc>
        <w:tc>
          <w:tcPr>
            <w:tcW w:type="dxa" w:w="1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$3,500</w:t>
            </w:r>
          </w:p>
        </w:tc>
      </w:tr>
      <w:tr>
        <w:tc>
          <w:tcPr>
            <w:tcW w:type="dxa" w:w="3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CA virtual machine</w:t>
            </w:r>
          </w:p>
        </w:tc>
        <w:tc>
          <w:tcPr>
            <w:tcW w:type="dxa" w:w="3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Windows Server VM (e.g. D2s_v5)</w:t>
            </w:r>
          </w:p>
        </w:tc>
        <w:tc>
          <w:tcPr>
            <w:tcW w:type="dxa" w:w="1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$140</w:t>
            </w:r>
          </w:p>
        </w:tc>
      </w:tr>
      <w:tr>
        <w:tc>
          <w:tcPr>
            <w:tcW w:type="dxa" w:w="3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Networking</w:t>
            </w:r>
          </w:p>
        </w:tc>
        <w:tc>
          <w:tcPr>
            <w:tcW w:type="dxa" w:w="3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VPN Gateway (VpnGw1) + data transfer</w:t>
            </w:r>
          </w:p>
        </w:tc>
        <w:tc>
          <w:tcPr>
            <w:tcW w:type="dxa" w:w="1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$140</w:t>
            </w:r>
          </w:p>
        </w:tc>
      </w:tr>
      <w:tr>
        <w:tc>
          <w:tcPr>
            <w:tcW w:type="dxa" w:w="3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Storage</w:t>
            </w:r>
          </w:p>
        </w:tc>
        <w:tc>
          <w:tcPr>
            <w:tcW w:type="dxa" w:w="3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Managed disk for CA database and logs</w:t>
            </w:r>
          </w:p>
        </w:tc>
        <w:tc>
          <w:tcPr>
            <w:tcW w:type="dxa" w:w="1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$20</w:t>
            </w:r>
          </w:p>
        </w:tc>
      </w:tr>
      <w:tr>
        <w:tc>
          <w:tcPr>
            <w:tcW w:type="dxa" w:w="3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Subtotal (infrastructure)</w:t>
            </w:r>
          </w:p>
        </w:tc>
        <w:tc>
          <w:tcPr>
            <w:tcW w:type="dxa" w:w="39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
            </w:r>
          </w:p>
        </w:tc>
        <w:tc>
          <w:tcPr>
            <w:tcW w:type="dxa" w:w="17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~$3,800 / month</w:t>
            </w:r>
          </w:p>
        </w:tc>
      </w:tr>
      <w:tr>
        <w:tc>
          <w:tcPr>
            <w:tcW w:type="dxa" w:w="3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Annualised</w:t>
            </w:r>
          </w:p>
        </w:tc>
        <w:tc>
          <w:tcPr>
            <w:tcW w:type="dxa" w:w="39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
            </w:r>
          </w:p>
        </w:tc>
        <w:tc>
          <w:tcPr>
            <w:tcW w:type="dxa" w:w="17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~$45,600 / year</w:t>
            </w:r>
          </w:p>
        </w:tc>
      </w:tr>
    </w:tbl>
    <w:p>
      <w:pPr>
        <w:spacing w:after="120" w:before="0" w:line="276"/>
      </w:pPr>
      <w:r>
        <w:rPr>
          <w:i/>
          <w:iCs/>
          <w:sz w:val="20"/>
          <w:szCs w:val="20"/>
        </w:rPr>
        <w:t xml:space="preserve">Excludes: Azure support plan, taxes, and Technijian’s managed-service fee. Confirm the exact HSM HA topology and whether the Standard B1 rate covers the required node count, as this drives the dominant line item. ExpressRoute, if used instead of VPN, increases the networking cost.</w:t>
      </w:r>
    </w:p>
    <w:p>
      <w:pPr>
        <w:pStyle w:val="Heading1"/>
        <w:pageBreakBefore/>
      </w:pPr>
      <w:r>
        <w:t xml:space="preserve">6.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rPr>
          <w:tblHeader/>
        </w:trPr>
        <w:tc>
          <w:tcPr>
            <w:tcW w:type="dxa" w:w="276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Dimension</w:t>
            </w:r>
          </w:p>
        </w:tc>
        <w:tc>
          <w:tcPr>
            <w:tcW w:type="dxa" w:w="33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AWS CloudHSM</w:t>
            </w:r>
          </w:p>
        </w:tc>
        <w:tc>
          <w:tcPr>
            <w:tcW w:type="dxa" w:w="33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Azure Cloud HSM</w:t>
            </w:r>
          </w:p>
        </w:tc>
      </w:tr>
      <w:tr>
        <w:tc>
          <w:tcPr>
            <w:tcW w:type="dxa" w:w="27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FIPS validation</w:t>
            </w:r>
          </w:p>
        </w:tc>
        <w:tc>
          <w:tcPr>
            <w:tcW w:type="dxa" w:w="33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140-3 Level 3</w:t>
            </w:r>
          </w:p>
        </w:tc>
        <w:tc>
          <w:tcPr>
            <w:tcW w:type="dxa" w:w="33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140-3 Level 3</w:t>
            </w:r>
          </w:p>
        </w:tc>
      </w:tr>
      <w:tr>
        <w:tc>
          <w:tcPr>
            <w:tcW w:type="dxa" w:w="27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Tenancy</w:t>
            </w:r>
          </w:p>
        </w:tc>
        <w:tc>
          <w:tcPr>
            <w:tcW w:type="dxa" w:w="33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Single-tenant in your VPC</w:t>
            </w:r>
          </w:p>
        </w:tc>
        <w:tc>
          <w:tcPr>
            <w:tcW w:type="dxa" w:w="33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Single-tenant, customer-administered</w:t>
            </w:r>
          </w:p>
        </w:tc>
      </w:tr>
      <w:tr>
        <w:tc>
          <w:tcPr>
            <w:tcW w:type="dxa" w:w="27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AD CS / KSP support</w:t>
            </w:r>
          </w:p>
        </w:tc>
        <w:tc>
          <w:tcPr>
            <w:tcW w:type="dxa" w:w="33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Native, mature, well documented</w:t>
            </w:r>
          </w:p>
        </w:tc>
        <w:tc>
          <w:tcPr>
            <w:tcW w:type="dxa" w:w="33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Native, documented</w:t>
            </w:r>
          </w:p>
        </w:tc>
      </w:tr>
      <w:tr>
        <w:tc>
          <w:tcPr>
            <w:tcW w:type="dxa" w:w="27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HA model</w:t>
            </w:r>
          </w:p>
        </w:tc>
        <w:tc>
          <w:tcPr>
            <w:tcW w:type="dxa" w:w="33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2+ HSMs across AZs</w:t>
            </w:r>
          </w:p>
        </w:tc>
        <w:tc>
          <w:tcPr>
            <w:tcW w:type="dxa" w:w="33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Managed HA cluster</w:t>
            </w:r>
          </w:p>
        </w:tc>
      </w:tr>
      <w:tr>
        <w:tc>
          <w:tcPr>
            <w:tcW w:type="dxa" w:w="27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Est. infra cost / month</w:t>
            </w:r>
          </w:p>
        </w:tc>
        <w:tc>
          <w:tcPr>
            <w:tcW w:type="dxa" w:w="33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~$2,300</w:t>
            </w:r>
          </w:p>
        </w:tc>
        <w:tc>
          <w:tcPr>
            <w:tcW w:type="dxa" w:w="33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~$3,800</w:t>
            </w:r>
          </w:p>
        </w:tc>
      </w:tr>
      <w:tr>
        <w:tc>
          <w:tcPr>
            <w:tcW w:type="dxa" w:w="27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Est. infra cost / year</w:t>
            </w:r>
          </w:p>
        </w:tc>
        <w:tc>
          <w:tcPr>
            <w:tcW w:type="dxa" w:w="33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~$27,500</w:t>
            </w:r>
          </w:p>
        </w:tc>
        <w:tc>
          <w:tcPr>
            <w:tcW w:type="dxa" w:w="33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~$45,600</w:t>
            </w:r>
          </w:p>
        </w:tc>
      </w:tr>
      <w:tr>
        <w:tc>
          <w:tcPr>
            <w:tcW w:type="dxa" w:w="27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Best-fit customer</w:t>
            </w:r>
          </w:p>
        </w:tc>
        <w:tc>
          <w:tcPr>
            <w:tcW w:type="dxa" w:w="33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Cost-sensitive; AWS-neutral or AWS-based</w:t>
            </w:r>
          </w:p>
        </w:tc>
        <w:tc>
          <w:tcPr>
            <w:tcW w:type="dxa" w:w="33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Microsoft / Azure-centric environments</w:t>
            </w:r>
          </w:p>
        </w:tc>
      </w:tr>
      <w:tr>
        <w:tc>
          <w:tcPr>
            <w:tcW w:type="dxa" w:w="27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Setup complexity</w:t>
            </w:r>
          </w:p>
        </w:tc>
        <w:tc>
          <w:tcPr>
            <w:tcW w:type="dxa" w:w="33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Moderate</w:t>
            </w:r>
          </w:p>
        </w:tc>
        <w:tc>
          <w:tcPr>
            <w:tcW w:type="dxa" w:w="33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Moderate</w:t>
            </w:r>
          </w:p>
        </w:tc>
      </w:tr>
    </w:tbl>
    <w:p>
      <w:pPr>
        <w:spacing w:after="120" w:before="60" w:line="276"/>
      </w:pPr>
      <w:r>
        <w:t xml:space="preserve">Both platforms meet the security bar identically (single-tenant, FIPS 140-3 Level 3, non-extractable keys, no provider access). The practical decision is cost versus ecosystem alignment: AWS is roughly 35–40% cheaper at list price, while Azure is the natural fit for customers already standardised on Microsoft cloud services and billing.</w:t>
      </w:r>
    </w:p>
    <w:p>
      <w:pPr>
        <w:pStyle w:val="Heading1"/>
        <w:spacing w:after="160" w:before="280"/>
      </w:pPr>
      <w:r>
        <w:t xml:space="preserve">7. Commercial Model: Reseller and Managed Support</w:t>
      </w:r>
    </w:p>
    <w:p>
      <w:pPr>
        <w:spacing w:after="120" w:before="0" w:line="276"/>
      </w:pPr>
      <w:r>
        <w:t xml:space="preserve">The proposed structure has CardLogix as the reseller (bundling the service with its smart card hardware and selling to the end customer) and Technijian as the implementation and ongoing support partner. Both clouds support partner resale, which lets the offering be sold as a single managed package rather than the customer holding a direct cloud account.</w:t>
      </w:r>
    </w:p>
    <w:p>
      <w:pPr>
        <w:pStyle w:val="Heading3"/>
        <w:spacing w:after="100" w:before="180"/>
      </w:pPr>
      <w:r>
        <w:t xml:space="preserve">Resale mechanics</w:t>
      </w:r>
    </w:p>
    <w:p>
      <w:pPr>
        <w:pStyle w:val="ListParagraph"/>
        <w:numPr>
          <w:ilvl w:val="0"/>
          <w:numId w:val="2"/>
        </w:numPr>
        <w:spacing w:after="80" w:line="276"/>
      </w:pPr>
      <w:r>
        <w:t xml:space="preserve">Azure: the Microsoft Cloud Solution Provider (CSP) program lets a partner resell Azure consumption, own the billing relationship, and set margin. Technijian can act as the CSP partner of record, with CardLogix as the customer-facing reseller.</w:t>
      </w:r>
    </w:p>
    <w:p>
      <w:pPr>
        <w:pStyle w:val="ListParagraph"/>
        <w:numPr>
          <w:ilvl w:val="0"/>
          <w:numId w:val="2"/>
        </w:numPr>
        <w:spacing w:after="80" w:line="276"/>
      </w:pPr>
      <w:r>
        <w:t xml:space="preserve">AWS: resale is available through the AWS Partner Network (Solution Provider Program / distribution) or via AWS Marketplace, similarly allowing a partner to package and re-bill cloud usage.</w:t>
      </w:r>
    </w:p>
    <w:p>
      <w:pPr>
        <w:pStyle w:val="ListParagraph"/>
        <w:numPr>
          <w:ilvl w:val="0"/>
          <w:numId w:val="2"/>
        </w:numPr>
        <w:spacing w:after="80" w:line="276"/>
      </w:pPr>
      <w:r>
        <w:t xml:space="preserve">Cloud margins on raw consumption are typically modest and partner-negotiated. The substantial and durable margin for this offering is the managed-service wrap that Technijian provides on top of the infrastructure.</w:t>
      </w:r>
    </w:p>
    <w:p>
      <w:pPr>
        <w:pStyle w:val="Heading3"/>
        <w:spacing w:after="100" w:before="180"/>
      </w:pPr>
      <w:r>
        <w:t xml:space="preserve">Suggested packaging</w:t>
      </w:r>
    </w:p>
    <w:p>
      <w:pPr>
        <w:spacing w:after="120" w:before="0" w:line="276"/>
      </w:pPr>
      <w:r>
        <w:t xml:space="preserve">A clean way to present this to end customers is a one-time setup fee plus a recurring monthly managed-PKI subscription that bundles the cloud infrastructure and Technijian’s support. Illustrative tiering: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4400"/>
        <w:gridCol w:w="2200"/>
      </w:tblGrid>
      <w:tr>
        <w:trPr>
          <w:tblHeader/>
        </w:trPr>
        <w:tc>
          <w:tcPr>
            <w:tcW w:type="dxa" w:w="276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Element</w:t>
            </w:r>
          </w:p>
        </w:tc>
        <w:tc>
          <w:tcPr>
            <w:tcW w:type="dxa" w:w="44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What it covers</w:t>
            </w:r>
          </w:p>
        </w:tc>
        <w:tc>
          <w:tcPr>
            <w:tcW w:type="dxa" w:w="2200"/>
            <w:tcBorders>
              <w:top w:val="single" w:color="C5D2E0" w:sz="1"/>
              <w:left w:val="single" w:color="C5D2E0" w:sz="1"/>
              <w:bottom w:val="single" w:color="C5D2E0" w:sz="1"/>
              <w:right w:val="single" w:color="C5D2E0" w:sz="1"/>
            </w:tcBorders>
            <w:shd w:fill="1F4E79" w:val="clear"/>
            <w:tcMar>
              <w:top w:type="dxa" w:w="70"/>
              <w:left w:type="dxa" w:w="110"/>
              <w:bottom w:type="dxa" w:w="70"/>
              <w:right w:type="dxa" w:w="110"/>
            </w:tcMar>
            <w:vAlign w:val="center"/>
          </w:tcPr>
          <w:p>
            <w:pPr>
              <w:spacing w:after="0" w:line="264"/>
            </w:pPr>
            <w:r>
              <w:rPr>
                <w:b/>
                <w:bCs/>
                <w:color w:val="FFFFFF"/>
                <w:sz w:val="20"/>
                <w:szCs w:val="20"/>
              </w:rPr>
              <w:t xml:space="preserve">Pricing approach</w:t>
            </w:r>
          </w:p>
        </w:tc>
      </w:tr>
      <w:tr>
        <w:tc>
          <w:tcPr>
            <w:tcW w:type="dxa" w:w="27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One-time onboarding</w:t>
            </w:r>
          </w:p>
        </w:tc>
        <w:tc>
          <w:tcPr>
            <w:tcW w:type="dxa" w:w="44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Architecture, HSM provisioning, CA build, root-key ceremony, initial card issuance</w:t>
            </w:r>
          </w:p>
        </w:tc>
        <w:tc>
          <w:tcPr>
            <w:tcW w:type="dxa" w:w="22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Fixed project fee</w:t>
            </w:r>
          </w:p>
        </w:tc>
      </w:tr>
      <w:tr>
        <w:tc>
          <w:tcPr>
            <w:tcW w:type="dxa" w:w="27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Managed-PKI subscription</w:t>
            </w:r>
          </w:p>
        </w:tc>
        <w:tc>
          <w:tcPr>
            <w:tcW w:type="dxa" w:w="44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Cloud infrastructure pass-through + 24/7 monitoring, backup verification, patching, renewals</w:t>
            </w:r>
          </w:p>
        </w:tc>
        <w:tc>
          <w:tcPr>
            <w:tcW w:type="dxa" w:w="22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Monthly per-CA fee with margin over cost</w:t>
            </w:r>
          </w:p>
        </w:tc>
      </w:tr>
      <w:tr>
        <w:tc>
          <w:tcPr>
            <w:tcW w:type="dxa" w:w="276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Per-card / per-credential</w:t>
            </w:r>
          </w:p>
        </w:tc>
        <w:tc>
          <w:tcPr>
            <w:tcW w:type="dxa" w:w="44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Issuance and lifecycle of each smart card credential</w:t>
            </w:r>
          </w:p>
        </w:tc>
        <w:tc>
          <w:tcPr>
            <w:tcW w:type="dxa" w:w="2200"/>
            <w:tcBorders>
              <w:top w:val="single" w:color="C5D2E0" w:sz="1"/>
              <w:left w:val="single" w:color="C5D2E0" w:sz="1"/>
              <w:bottom w:val="single" w:color="C5D2E0" w:sz="1"/>
              <w:right w:val="single" w:color="C5D2E0" w:sz="1"/>
            </w:tcBorders>
            <w:tcMar>
              <w:top w:type="dxa" w:w="70"/>
              <w:left w:type="dxa" w:w="110"/>
              <w:bottom w:type="dxa" w:w="70"/>
              <w:right w:type="dxa" w:w="110"/>
            </w:tcMar>
            <w:vAlign w:val="center"/>
          </w:tcPr>
          <w:p>
            <w:pPr>
              <w:spacing w:after="0" w:line="264"/>
            </w:pPr>
            <w:r>
              <w:rPr>
                <w:sz w:val="20"/>
                <w:szCs w:val="20"/>
              </w:rPr>
              <w:t xml:space="preserve">Per-card fee (bundled with CardLogix hardware)</w:t>
            </w:r>
          </w:p>
        </w:tc>
      </w:tr>
      <w:tr>
        <w:tc>
          <w:tcPr>
            <w:tcW w:type="dxa" w:w="276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Incident / change requests</w:t>
            </w:r>
          </w:p>
        </w:tc>
        <w:tc>
          <w:tcPr>
            <w:tcW w:type="dxa" w:w="44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Revocation events, re-issuance, template changes, audits</w:t>
            </w:r>
          </w:p>
        </w:tc>
        <w:tc>
          <w:tcPr>
            <w:tcW w:type="dxa" w:w="2200"/>
            <w:tcBorders>
              <w:top w:val="single" w:color="C5D2E0" w:sz="1"/>
              <w:left w:val="single" w:color="C5D2E0" w:sz="1"/>
              <w:bottom w:val="single" w:color="C5D2E0" w:sz="1"/>
              <w:right w:val="single" w:color="C5D2E0" w:sz="1"/>
            </w:tcBorders>
            <w:shd w:fill="EEF3F8" w:val="clear"/>
            <w:tcMar>
              <w:top w:type="dxa" w:w="70"/>
              <w:left w:type="dxa" w:w="110"/>
              <w:bottom w:type="dxa" w:w="70"/>
              <w:right w:type="dxa" w:w="110"/>
            </w:tcMar>
            <w:vAlign w:val="center"/>
          </w:tcPr>
          <w:p>
            <w:pPr>
              <w:spacing w:after="0" w:line="264"/>
            </w:pPr>
            <w:r>
              <w:rPr>
                <w:sz w:val="20"/>
                <w:szCs w:val="20"/>
              </w:rPr>
              <w:t xml:space="preserve">Included allotment + hourly overage</w:t>
            </w:r>
          </w:p>
        </w:tc>
      </w:tr>
    </w:tbl>
    <w:p>
      <w:pPr>
        <w:spacing w:after="120" w:before="0" w:line="276"/>
      </w:pPr>
      <w:r>
        <w:rPr>
          <w:i/>
          <w:iCs/>
          <w:sz w:val="20"/>
          <w:szCs w:val="20"/>
        </w:rPr>
        <w:t xml:space="preserve">Because the infrastructure cost is known and stable (Section 4.3 / 5.3), Technijian can price the subscription with a predictable margin and absorb minor usage variance.</w:t>
      </w:r>
    </w:p>
    <w:p>
      <w:pPr>
        <w:pStyle w:val="Heading1"/>
        <w:spacing w:after="160" w:before="280"/>
      </w:pPr>
      <w:r>
        <w:t xml:space="preserve">8. Ongoing Operational Responsibilities (Technijian)</w:t>
      </w:r>
    </w:p>
    <w:p>
      <w:pPr>
        <w:spacing w:after="120" w:before="0" w:line="276"/>
      </w:pPr>
      <w:r>
        <w:t xml:space="preserve">A managed CA is not a set-and-forget service. The recurring responsibilities that justify the support fee and protect the customer are:</w:t>
      </w:r>
    </w:p>
    <w:p>
      <w:pPr>
        <w:pStyle w:val="ListParagraph"/>
        <w:numPr>
          <w:ilvl w:val="0"/>
          <w:numId w:val="2"/>
        </w:numPr>
        <w:spacing w:after="80" w:line="276"/>
      </w:pPr>
      <w:r>
        <w:t xml:space="preserve">Backup and disaster recovery: verify HSM/cluster backups, and maintain the M-of-N key custodian shares so the CA can be recovered to a new HSM if hardware fails.</w:t>
      </w:r>
    </w:p>
    <w:p>
      <w:pPr>
        <w:pStyle w:val="ListParagraph"/>
        <w:numPr>
          <w:ilvl w:val="0"/>
          <w:numId w:val="2"/>
        </w:numPr>
        <w:spacing w:after="80" w:line="276"/>
      </w:pPr>
      <w:r>
        <w:t xml:space="preserve">Key custodian ceremony: conduct and document the root-key and custodian ceremony at build time, with defined custodians and secure storage of shares.</w:t>
      </w:r>
    </w:p>
    <w:p>
      <w:pPr>
        <w:pStyle w:val="ListParagraph"/>
        <w:numPr>
          <w:ilvl w:val="0"/>
          <w:numId w:val="2"/>
        </w:numPr>
        <w:spacing w:after="80" w:line="276"/>
      </w:pPr>
      <w:r>
        <w:t xml:space="preserve">Monitoring and alerting: HSM health, CA service availability, certificate issuance failures, and connectivity to on-premises Active Directory.</w:t>
      </w:r>
    </w:p>
    <w:p>
      <w:pPr>
        <w:pStyle w:val="ListParagraph"/>
        <w:numPr>
          <w:ilvl w:val="0"/>
          <w:numId w:val="2"/>
        </w:numPr>
        <w:spacing w:after="80" w:line="276"/>
      </w:pPr>
      <w:r>
        <w:t xml:space="preserve">Certificate lifecycle: CRL/OCSP publication and freshness, certificate renewals, and prompt revocation of lost or compromised cards.</w:t>
      </w:r>
    </w:p>
    <w:p>
      <w:pPr>
        <w:pStyle w:val="ListParagraph"/>
        <w:numPr>
          <w:ilvl w:val="0"/>
          <w:numId w:val="2"/>
        </w:numPr>
        <w:spacing w:after="80" w:line="276"/>
      </w:pPr>
      <w:r>
        <w:t xml:space="preserve">Patching and hardening: Windows Server and CA host patching, client SDK/KSP updates, and review of FIPS certificate validity (certificates have published validity windows and occasionally move to historical status).</w:t>
      </w:r>
    </w:p>
    <w:p>
      <w:pPr>
        <w:pStyle w:val="ListParagraph"/>
        <w:numPr>
          <w:ilvl w:val="0"/>
          <w:numId w:val="2"/>
        </w:numPr>
        <w:spacing w:after="80" w:line="276"/>
      </w:pPr>
      <w:r>
        <w:t xml:space="preserve">Audit and reporting: issuance logs, tamper-evident HSM audit logs, and periodic access review.</w:t>
      </w:r>
    </w:p>
    <w:p>
      <w:pPr>
        <w:pStyle w:val="Heading1"/>
        <w:spacing w:after="160" w:before="280"/>
      </w:pPr>
      <w:r>
        <w:t xml:space="preserve">9. Risks, Caveats, and Items to Verify</w:t>
      </w:r>
    </w:p>
    <w:p>
      <w:pPr>
        <w:pStyle w:val="ListParagraph"/>
        <w:numPr>
          <w:ilvl w:val="0"/>
          <w:numId w:val="2"/>
        </w:numPr>
        <w:spacing w:after="80" w:line="276"/>
      </w:pPr>
      <w:r>
        <w:t xml:space="preserve">Pricing is list-price and subject to change. Validate current per-hour HSM rates, VM and networking costs, and any partner/CSP discounts on the provider pricing pages before quoting.</w:t>
      </w:r>
    </w:p>
    <w:p>
      <w:pPr>
        <w:pStyle w:val="ListParagraph"/>
        <w:numPr>
          <w:ilvl w:val="0"/>
          <w:numId w:val="2"/>
        </w:numPr>
        <w:spacing w:after="80" w:line="276"/>
      </w:pPr>
      <w:r>
        <w:t xml:space="preserve">Connectivity dependency: the CA reaches the HSM over the network for every signing operation. The private link (VPN/Direct Connect/ExpressRoute) is a hard dependency — size it for availability and low latency, and plan for link failure.</w:t>
      </w:r>
    </w:p>
    <w:p>
      <w:pPr>
        <w:pStyle w:val="ListParagraph"/>
        <w:numPr>
          <w:ilvl w:val="0"/>
          <w:numId w:val="2"/>
        </w:numPr>
        <w:spacing w:after="80" w:line="276"/>
      </w:pPr>
      <w:r>
        <w:t xml:space="preserve">CA location: going cloud-HSM effectively means hosting the CA in the cloud next to the HSM. If the customer mandates an on-premises CA, an on-premises HSM (e.g. a dedicated CA-grade appliance) is the alternative and should be priced separately.</w:t>
      </w:r>
    </w:p>
    <w:p>
      <w:pPr>
        <w:pStyle w:val="ListParagraph"/>
        <w:numPr>
          <w:ilvl w:val="0"/>
          <w:numId w:val="2"/>
        </w:numPr>
        <w:spacing w:after="80" w:line="276"/>
      </w:pPr>
      <w:r>
        <w:t xml:space="preserve">Region and HA topology: confirm HSM availability in the chosen region and the exact node count required for the providers’ HA configuration, as this drives the dominant cost line.</w:t>
      </w:r>
    </w:p>
    <w:p>
      <w:pPr>
        <w:pStyle w:val="ListParagraph"/>
        <w:numPr>
          <w:ilvl w:val="0"/>
          <w:numId w:val="2"/>
        </w:numPr>
        <w:spacing w:after="80" w:line="276"/>
      </w:pPr>
      <w:r>
        <w:t xml:space="preserve">FIPS validity: confirm the current validated HSM model/certificate for each provider at time of sale, particularly if the customer has a strict FIPS 140-3 requirement.</w:t>
      </w:r>
    </w:p>
    <w:p>
      <w:pPr>
        <w:pStyle w:val="ListParagraph"/>
        <w:numPr>
          <w:ilvl w:val="0"/>
          <w:numId w:val="2"/>
        </w:numPr>
        <w:spacing w:after="80" w:line="276"/>
      </w:pPr>
      <w:r>
        <w:t xml:space="preserve">Migration: do not import the existing software CA key. Generate a new key inside the HSM and re-issue, treating the prior key as potentially exposed.</w:t>
      </w:r>
    </w:p>
    <w:p>
      <w:pPr>
        <w:pStyle w:val="ListParagraph"/>
        <w:numPr>
          <w:ilvl w:val="0"/>
          <w:numId w:val="2"/>
        </w:numPr>
        <w:spacing w:after="80" w:line="276"/>
      </w:pPr>
      <w:r>
        <w:t xml:space="preserve">Google Cloud HSM was excluded for the AD CS CA-key-store use case (its CNG provider targets code signing; its CA path replaces AD CS). Revisit only if the customer is open to a Google-managed CA instead of AD CS.</w:t>
      </w:r>
    </w:p>
    <w:p>
      <w:pPr>
        <w:pStyle w:val="Heading1"/>
        <w:spacing w:after="160" w:before="280"/>
      </w:pPr>
      <w:r>
        <w:t xml:space="preserve">10. Recommendation and Next Steps</w:t>
      </w:r>
    </w:p>
    <w:p>
      <w:pPr>
        <w:spacing w:after="120" w:before="0" w:line="276"/>
      </w:pPr>
      <w:r>
        <w:t xml:space="preserve">Lead with AWS CloudHSM as the standard offering on cost and maturity, and position Azure Cloud HSM as the option for Microsoft/Azure-aligned customers. Both deliver identical security guarantees for the CA signing key; the differentiator is cost and ecosystem fit, not strength.</w:t>
      </w:r>
    </w:p>
    <w:p>
      <w:pPr>
        <w:pStyle w:val="ListParagraph"/>
        <w:numPr>
          <w:ilvl w:val="0"/>
          <w:numId w:val="5"/>
        </w:numPr>
        <w:spacing w:after="90" w:line="276"/>
      </w:pPr>
      <w:r>
        <w:t xml:space="preserve">Confirm with the first target customer whether the CA may be hosted in the cloud (required for cloud HSM) or must remain on-premises.</w:t>
      </w:r>
    </w:p>
    <w:p>
      <w:pPr>
        <w:pStyle w:val="ListParagraph"/>
        <w:numPr>
          <w:ilvl w:val="0"/>
          <w:numId w:val="5"/>
        </w:numPr>
        <w:spacing w:after="90" w:line="276"/>
      </w:pPr>
      <w:r>
        <w:t xml:space="preserve">Select the provider based on the customer’s existing cloud footprint (default AWS unless Azure-centric).</w:t>
      </w:r>
    </w:p>
    <w:p>
      <w:pPr>
        <w:pStyle w:val="ListParagraph"/>
        <w:numPr>
          <w:ilvl w:val="0"/>
          <w:numId w:val="5"/>
        </w:numPr>
        <w:spacing w:after="90" w:line="276"/>
      </w:pPr>
      <w:r>
        <w:t xml:space="preserve">Validate current pricing and any CSP/partner discounts, and finalise the managed-PKI subscription price with Technijian’s margin.</w:t>
      </w:r>
    </w:p>
    <w:p>
      <w:pPr>
        <w:pStyle w:val="ListParagraph"/>
        <w:numPr>
          <w:ilvl w:val="0"/>
          <w:numId w:val="5"/>
        </w:numPr>
        <w:spacing w:after="90" w:line="276"/>
      </w:pPr>
      <w:r>
        <w:t xml:space="preserve">Run a pilot: build the offline root, the HSM-backed issuing CA, and issue a small batch of CardLogix cards before production rollout.</w:t>
      </w:r>
    </w:p>
    <w:p>
      <w:pPr>
        <w:pStyle w:val="ListParagraph"/>
        <w:numPr>
          <w:ilvl w:val="0"/>
          <w:numId w:val="5"/>
        </w:numPr>
        <w:spacing w:after="90" w:line="276"/>
      </w:pPr>
      <w:r>
        <w:t xml:space="preserve">Define the support SLA, backup/DR runbook, and key custodian ceremony as part of the onboarding package.</w:t>
      </w:r>
    </w:p>
    <w:p>
      <w:pPr>
        <w:pBdr>
          <w:bottom w:val="single" w:color="2E75B6" w:sz="6" w:space="1"/>
        </w:pBdr>
        <w:spacing w:after="120" w:before="40"/>
      </w:pPr>
      <w:r>
        <w:t xml:space="preserve"/>
      </w:r>
    </w:p>
    <w:p>
      <w:pPr>
        <w:spacing w:after="120" w:before="0" w:line="276"/>
      </w:pPr>
      <w:r>
        <w:rPr>
          <w:i/>
          <w:iCs/>
          <w:color w:val="777777"/>
          <w:sz w:val="18"/>
          <w:szCs w:val="18"/>
        </w:rPr>
        <w:t xml:space="preserve">Prepared as a planning and evaluation document. All cost figures are list-price estimates as of May 2026 and must be validated against current provider pricing prior to any customer quotation.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Confidential — Prepared for CardLogix / Technijian evaluation</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2E0" w:sz="4" w:space="4"/>
      </w:pBdr>
      <w:spacing w:after="0"/>
    </w:pPr>
    <w:r>
      <w:rPr>
        <w:color w:val="888888"/>
        <w:sz w:val="16"/>
        <w:szCs w:val="16"/>
      </w:rPr>
      <w:t xml:space="preserve">Hardware-Backed CA on Cloud HSM — AWS vs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9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Hardware-Backed CA on Cloud HSM — AWS vs Azure</dc:title>
  <dc:creator>Technijian</dc:creator>
  <cp:lastModifiedBy>Un-named</cp:lastModifiedBy>
  <cp:revision>1</cp:revision>
  <dcterms:created xsi:type="dcterms:W3CDTF">2026-05-29T20:49:01.525Z</dcterms:created>
  <dcterms:modified xsi:type="dcterms:W3CDTF">2026-05-29T20:49:01.525Z</dcterms:modified>
</cp:coreProperties>
</file>

<file path=docProps/custom.xml><?xml version="1.0" encoding="utf-8"?>
<Properties xmlns="http://schemas.openxmlformats.org/officeDocument/2006/custom-properties" xmlns:vt="http://schemas.openxmlformats.org/officeDocument/2006/docPropsVTypes"/>
</file>