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Open Sans" w:cs="Open Sans" w:eastAsia="Open Sans" w:hAnsi="Open Sans"/>
          <w:b/>
          <w:bCs/>
          <w:color w:val="006DB6"/>
          <w:sz w:val="72"/>
          <w:szCs w:val="72"/>
        </w:rPr>
        <w:t xml:space="preserve">TECHNIJIAN</w:t>
      </w:r>
    </w:p>
    <w:p>
      <w:pPr>
        <w:spacing w:after="100"/>
        <w:jc w:val="center"/>
      </w:pPr>
      <w:r>
        <w:rPr>
          <w:rFonts w:ascii="Open Sans" w:cs="Open Sans" w:eastAsia="Open Sans" w:hAnsi="Open Sans"/>
          <w:i/>
          <w:iCs/>
          <w:color w:val="59595B"/>
          <w:sz w:val="28"/>
          <w:szCs w:val="28"/>
        </w:rPr>
        <w:t xml:space="preserve">technology as a solution</w:t>
      </w:r>
    </w:p>
    <w:p>
      <w:pPr>
        <w:pBdr>
          <w:bottom w:val="single" w:color="F67D4B" w:sz="6" w:space="1"/>
        </w:pBdr>
        <w:spacing w:after="200"/>
      </w:pPr>
    </w:p>
    <w:p>
      <w:pPr>
        <w:spacing w:after="80"/>
      </w:pPr>
    </w:p>
    <w:p>
      <w:pPr>
        <w:spacing w:after="80"/>
      </w:pPr>
    </w:p>
    <w:p>
      <w:pPr>
        <w:spacing w:after="200"/>
        <w:jc w:val="center"/>
      </w:pPr>
      <w:r>
        <w:rPr>
          <w:rFonts w:ascii="Open Sans" w:cs="Open Sans" w:eastAsia="Open Sans" w:hAnsi="Open Sans"/>
          <w:b/>
          <w:bCs/>
          <w:color w:val="1A1A2E"/>
          <w:sz w:val="48"/>
          <w:szCs w:val="48"/>
        </w:rPr>
        <w:t xml:space="preserve">Brand Guide 2026</w:t>
      </w:r>
    </w:p>
    <w:p>
      <w:pPr>
        <w:spacing w:after="100"/>
        <w:jc w:val="center"/>
      </w:pPr>
      <w:r>
        <w:rPr>
          <w:rFonts w:ascii="Open Sans" w:cs="Open Sans" w:eastAsia="Open Sans" w:hAnsi="Open Sans"/>
          <w:color w:val="59595B"/>
          <w:sz w:val="24"/>
          <w:szCs w:val="24"/>
        </w:rPr>
        <w:t xml:space="preserve">Updated March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Open Sans" w:cs="Open Sans" w:eastAsia="Open Sans" w:hAnsi="Open Sans"/>
          <w:color w:val="59595B"/>
          <w:sz w:val="20"/>
          <w:szCs w:val="20"/>
        </w:rPr>
        <w:t xml:space="preserve">18 Technology Dr., Ste 141  |  Irvine, CA 92618  |  949.379.8500</w:t>
      </w:r>
    </w:p>
    <w:p>
      <w:pPr>
        <w:jc w:val="center"/>
      </w:pPr>
      <w:r>
        <w:rPr>
          <w:rFonts w:ascii="Open Sans" w:cs="Open Sans" w:eastAsia="Open Sans" w:hAnsi="Open Sans"/>
          <w:color w:val="006DB6"/>
          <w:sz w:val="20"/>
          <w:szCs w:val="20"/>
        </w:rPr>
        <w:t xml:space="preserve">technijian.com</w:t>
      </w:r>
    </w:p>
    <w:p>
      <w:pPr>
        <w:sectPr>
          <w:pgSz w:w="12240" w:h="15840" w:orient="portrait"/>
          <w:pgMar w:top="1440" w:right="1440" w:bottom="1440" w:left="1440" w:header="708" w:footer="708" w:gutter="0"/>
          <w:pgNumType/>
          <w:docGrid w:linePitch="360"/>
        </w:sectPr>
      </w:pPr>
    </w:p>
    <w:p>
      <w:pPr>
        <w:pStyle w:val="Heading1"/>
      </w:pPr>
      <w:r>
        <w:t xml:space="preserve">1. Brand Overview</w:t>
      </w:r>
    </w:p>
    <w:p>
      <w:pPr>
        <w:pBdr>
          <w:bottom w:val="single" w:color="F67D4B" w:sz="6" w:space="1"/>
        </w:pBdr>
        <w:spacing w:after="200"/>
      </w:pPr>
    </w:p>
    <w:p>
      <w:pPr>
        <w:pStyle w:val="Heading2"/>
      </w:pPr>
      <w:r>
        <w:t xml:space="preserve">Who We Are</w:t>
      </w:r>
    </w:p>
    <w:p>
      <w:pPr>
        <w:spacing w:after="120"/>
      </w:pPr>
      <w:r>
        <w:rPr>
          <w:rFonts w:ascii="Open Sans" w:cs="Open Sans" w:eastAsia="Open Sans" w:hAnsi="Open Sans"/>
          <w:color w:val="59595B"/>
          <w:sz w:val="22"/>
          <w:szCs w:val="22"/>
        </w:rPr>
        <w:t xml:space="preserve">Technijian was founded in November 2000 by Ravi Jain with a mission to deliver technology support for small to midsize businesses. Over 25 years, that single-consultant operation has grown into a full-spectrum IT services company with offices in the United States (Irvine, California) and India, serving businesses across Orange County and nationwide.</w:t>
      </w:r>
    </w:p>
    <w:p>
      <w:pPr>
        <w:spacing w:after="120"/>
      </w:pPr>
      <w:r>
        <w:rPr>
          <w:rFonts w:ascii="Open Sans" w:cs="Open Sans" w:eastAsia="Open Sans" w:hAnsi="Open Sans"/>
          <w:color w:val="59595B"/>
          <w:sz w:val="22"/>
          <w:szCs w:val="22"/>
        </w:rPr>
        <w:t xml:space="preserve">Today, Technijian provides managed IT services, cybersecurity, cloud infrastructure, AI-driven solutions, compliance support, and custom software development — all backed by 24/7 support through our dedicated “Technijians” pod model.</w:t>
      </w:r>
    </w:p>
    <w:p>
      <w:pPr>
        <w:spacing w:after="80"/>
      </w:pPr>
    </w:p>
    <w:p>
      <w:pPr>
        <w:pStyle w:val="Heading2"/>
      </w:pPr>
      <w:r>
        <w:t xml:space="preserve">What We Offer</w:t>
      </w:r>
    </w:p>
    <w:p>
      <w:pPr>
        <w:spacing w:after="120"/>
      </w:pPr>
      <w:r>
        <w:rPr>
          <w:rFonts w:ascii="Open Sans" w:cs="Open Sans" w:eastAsia="Open Sans" w:hAnsi="Open Sans"/>
          <w:color w:val="59595B"/>
          <w:sz w:val="22"/>
          <w:szCs w:val="22"/>
        </w:rPr>
        <w:t xml:space="preserve">Our services are organized into six core pillars:</w:t>
      </w:r>
    </w:p>
    <w:p>
      <w:pPr>
        <w:pStyle w:val="ListParagraph"/>
        <w:numPr>
          <w:ilvl w:val="0"/>
          <w:numId w:val="2"/>
        </w:numPr>
        <w:spacing w:after="60"/>
      </w:pPr>
      <w:r>
        <w:rPr>
          <w:rFonts w:ascii="Open Sans" w:cs="Open Sans" w:eastAsia="Open Sans" w:hAnsi="Open Sans"/>
          <w:b/>
          <w:bCs/>
          <w:color w:val="1A1A2E"/>
          <w:sz w:val="22"/>
          <w:szCs w:val="22"/>
        </w:rPr>
        <w:t xml:space="preserve">Managed IT Services — </w:t>
      </w:r>
      <w:r>
        <w:rPr>
          <w:rFonts w:ascii="Open Sans" w:cs="Open Sans" w:eastAsia="Open Sans" w:hAnsi="Open Sans"/>
          <w:color w:val="59595B"/>
          <w:sz w:val="22"/>
          <w:szCs w:val="22"/>
        </w:rPr>
        <w:t xml:space="preserve">Desktop support, server support, VoIP systems, network maintenance, and 24/7 monitoring</w:t>
      </w:r>
    </w:p>
    <w:p>
      <w:pPr>
        <w:pStyle w:val="ListParagraph"/>
        <w:numPr>
          <w:ilvl w:val="0"/>
          <w:numId w:val="2"/>
        </w:numPr>
        <w:spacing w:after="60"/>
      </w:pPr>
      <w:r>
        <w:rPr>
          <w:rFonts w:ascii="Open Sans" w:cs="Open Sans" w:eastAsia="Open Sans" w:hAnsi="Open Sans"/>
          <w:b/>
          <w:bCs/>
          <w:color w:val="1A1A2E"/>
          <w:sz w:val="22"/>
          <w:szCs w:val="22"/>
        </w:rPr>
        <w:t xml:space="preserve">Cybersecurity — </w:t>
      </w:r>
      <w:r>
        <w:rPr>
          <w:rFonts w:ascii="Open Sans" w:cs="Open Sans" w:eastAsia="Open Sans" w:hAnsi="Open Sans"/>
          <w:color w:val="59595B"/>
          <w:sz w:val="22"/>
          <w:szCs w:val="22"/>
        </w:rPr>
        <w:t xml:space="preserve">CrowdStrike-powered threat protection, continuous monitoring, incident response, and breach prevention</w:t>
      </w:r>
    </w:p>
    <w:p>
      <w:pPr>
        <w:pStyle w:val="ListParagraph"/>
        <w:numPr>
          <w:ilvl w:val="0"/>
          <w:numId w:val="2"/>
        </w:numPr>
        <w:spacing w:after="60"/>
      </w:pPr>
      <w:r>
        <w:rPr>
          <w:rFonts w:ascii="Open Sans" w:cs="Open Sans" w:eastAsia="Open Sans" w:hAnsi="Open Sans"/>
          <w:b/>
          <w:bCs/>
          <w:color w:val="1A1A2E"/>
          <w:sz w:val="22"/>
          <w:szCs w:val="22"/>
        </w:rPr>
        <w:t xml:space="preserve">Cloud Solutions — </w:t>
      </w:r>
      <w:r>
        <w:rPr>
          <w:rFonts w:ascii="Open Sans" w:cs="Open Sans" w:eastAsia="Open Sans" w:hAnsi="Open Sans"/>
          <w:color w:val="59595B"/>
          <w:sz w:val="22"/>
          <w:szCs w:val="22"/>
        </w:rPr>
        <w:t xml:space="preserve">Private cloud (own datacenter), public cloud (AWS, Microsoft 365), SD-WAN, and hybrid environments</w:t>
      </w:r>
    </w:p>
    <w:p>
      <w:pPr>
        <w:pStyle w:val="ListParagraph"/>
        <w:numPr>
          <w:ilvl w:val="0"/>
          <w:numId w:val="2"/>
        </w:numPr>
        <w:spacing w:after="60"/>
      </w:pPr>
      <w:r>
        <w:rPr>
          <w:rFonts w:ascii="Open Sans" w:cs="Open Sans" w:eastAsia="Open Sans" w:hAnsi="Open Sans"/>
          <w:b/>
          <w:bCs/>
          <w:color w:val="1A1A2E"/>
          <w:sz w:val="22"/>
          <w:szCs w:val="22"/>
        </w:rPr>
        <w:t xml:space="preserve">Compliance &amp; Business Continuity — </w:t>
      </w:r>
      <w:r>
        <w:rPr>
          <w:rFonts w:ascii="Open Sans" w:cs="Open Sans" w:eastAsia="Open Sans" w:hAnsi="Open Sans"/>
          <w:color w:val="59595B"/>
          <w:sz w:val="22"/>
          <w:szCs w:val="22"/>
        </w:rPr>
        <w:t xml:space="preserve">HIPAA, PCI, SOC 2, GDPR frameworks, documentation, disaster recovery</w:t>
      </w:r>
    </w:p>
    <w:p>
      <w:pPr>
        <w:pStyle w:val="ListParagraph"/>
        <w:numPr>
          <w:ilvl w:val="0"/>
          <w:numId w:val="2"/>
        </w:numPr>
        <w:spacing w:after="60"/>
      </w:pPr>
      <w:r>
        <w:rPr>
          <w:rFonts w:ascii="Open Sans" w:cs="Open Sans" w:eastAsia="Open Sans" w:hAnsi="Open Sans"/>
          <w:b/>
          <w:bCs/>
          <w:color w:val="1A1A2E"/>
          <w:sz w:val="22"/>
          <w:szCs w:val="22"/>
        </w:rPr>
        <w:t xml:space="preserve">Software Development &amp; AI — </w:t>
      </w:r>
      <w:r>
        <w:rPr>
          <w:rFonts w:ascii="Open Sans" w:cs="Open Sans" w:eastAsia="Open Sans" w:hAnsi="Open Sans"/>
          <w:color w:val="59595B"/>
          <w:sz w:val="22"/>
          <w:szCs w:val="22"/>
        </w:rPr>
        <w:t xml:space="preserve">.NET 8, React, WordPress, AI-driven development, CoPilot integration, DevOps, SEO</w:t>
      </w:r>
    </w:p>
    <w:p>
      <w:pPr>
        <w:pStyle w:val="ListParagraph"/>
        <w:numPr>
          <w:ilvl w:val="0"/>
          <w:numId w:val="2"/>
        </w:numPr>
        <w:spacing w:after="60"/>
      </w:pPr>
      <w:r>
        <w:rPr>
          <w:rFonts w:ascii="Open Sans" w:cs="Open Sans" w:eastAsia="Open Sans" w:hAnsi="Open Sans"/>
          <w:b/>
          <w:bCs/>
          <w:color w:val="1A1A2E"/>
          <w:sz w:val="22"/>
          <w:szCs w:val="22"/>
        </w:rPr>
        <w:t xml:space="preserve">Strategic IT Consulting — </w:t>
      </w:r>
      <w:r>
        <w:rPr>
          <w:rFonts w:ascii="Open Sans" w:cs="Open Sans" w:eastAsia="Open Sans" w:hAnsi="Open Sans"/>
          <w:color w:val="59595B"/>
          <w:sz w:val="22"/>
          <w:szCs w:val="22"/>
        </w:rPr>
        <w:t xml:space="preserve">CTO-as-a-Service, data analytics (Power BI), IT assessments, and technology roadmapping</w:t>
      </w:r>
    </w:p>
    <w:p>
      <w:pPr>
        <w:spacing w:after="80"/>
      </w:pPr>
    </w:p>
    <w:p>
      <w:pPr>
        <w:pStyle w:val="Heading2"/>
      </w:pPr>
      <w:r>
        <w:t xml:space="preserve">Key Differentiators</w:t>
      </w:r>
    </w:p>
    <w:p>
      <w:pPr>
        <w:pStyle w:val="ListParagraph"/>
        <w:numPr>
          <w:ilvl w:val="0"/>
          <w:numId w:val="3"/>
        </w:numPr>
        <w:spacing w:after="60"/>
      </w:pPr>
      <w:r>
        <w:rPr>
          <w:rFonts w:ascii="Open Sans" w:cs="Open Sans" w:eastAsia="Open Sans" w:hAnsi="Open Sans"/>
          <w:b/>
          <w:bCs/>
          <w:color w:val="1A1A2E"/>
          <w:sz w:val="22"/>
          <w:szCs w:val="22"/>
        </w:rPr>
        <w:t xml:space="preserve">25+ years </w:t>
      </w:r>
      <w:r>
        <w:rPr>
          <w:rFonts w:ascii="Open Sans" w:cs="Open Sans" w:eastAsia="Open Sans" w:hAnsi="Open Sans"/>
          <w:color w:val="59595B"/>
          <w:sz w:val="22"/>
          <w:szCs w:val="22"/>
        </w:rPr>
        <w:t xml:space="preserve">of continuous operation serving SMBs and mid-market enterprises</w:t>
      </w:r>
    </w:p>
    <w:p>
      <w:pPr>
        <w:pStyle w:val="ListParagraph"/>
        <w:numPr>
          <w:ilvl w:val="0"/>
          <w:numId w:val="3"/>
        </w:numPr>
        <w:spacing w:after="60"/>
      </w:pPr>
      <w:r>
        <w:rPr>
          <w:rFonts w:ascii="Open Sans" w:cs="Open Sans" w:eastAsia="Open Sans" w:hAnsi="Open Sans"/>
          <w:b/>
          <w:bCs/>
          <w:color w:val="1A1A2E"/>
          <w:sz w:val="22"/>
          <w:szCs w:val="22"/>
        </w:rPr>
        <w:t xml:space="preserve">The Technijians Pod Model — </w:t>
      </w:r>
      <w:r>
        <w:rPr>
          <w:rFonts w:ascii="Open Sans" w:cs="Open Sans" w:eastAsia="Open Sans" w:hAnsi="Open Sans"/>
          <w:color w:val="59595B"/>
          <w:sz w:val="22"/>
          <w:szCs w:val="22"/>
        </w:rPr>
        <w:t xml:space="preserve">A dedicated team assigned to your business who knows your infrastructure inside and out</w:t>
      </w:r>
    </w:p>
    <w:p>
      <w:pPr>
        <w:pStyle w:val="ListParagraph"/>
        <w:numPr>
          <w:ilvl w:val="0"/>
          <w:numId w:val="3"/>
        </w:numPr>
        <w:spacing w:after="60"/>
      </w:pPr>
      <w:r>
        <w:rPr>
          <w:rFonts w:ascii="Open Sans" w:cs="Open Sans" w:eastAsia="Open Sans" w:hAnsi="Open Sans"/>
          <w:b/>
          <w:bCs/>
          <w:color w:val="1A1A2E"/>
          <w:sz w:val="22"/>
          <w:szCs w:val="22"/>
        </w:rPr>
        <w:t xml:space="preserve">24/7 Global Support — </w:t>
      </w:r>
      <w:r>
        <w:rPr>
          <w:rFonts w:ascii="Open Sans" w:cs="Open Sans" w:eastAsia="Open Sans" w:hAnsi="Open Sans"/>
          <w:color w:val="59595B"/>
          <w:sz w:val="22"/>
          <w:szCs w:val="22"/>
        </w:rPr>
        <w:t xml:space="preserve">U.S.-based technicians supplemented by our India office for round-the-clock coverage</w:t>
      </w:r>
    </w:p>
    <w:p>
      <w:pPr>
        <w:pStyle w:val="ListParagraph"/>
        <w:numPr>
          <w:ilvl w:val="0"/>
          <w:numId w:val="3"/>
        </w:numPr>
        <w:spacing w:after="60"/>
      </w:pPr>
      <w:r>
        <w:rPr>
          <w:rFonts w:ascii="Open Sans" w:cs="Open Sans" w:eastAsia="Open Sans" w:hAnsi="Open Sans"/>
          <w:b/>
          <w:bCs/>
          <w:color w:val="1A1A2E"/>
          <w:sz w:val="22"/>
          <w:szCs w:val="22"/>
        </w:rPr>
        <w:t xml:space="preserve">Cybersecurity-First Approach — </w:t>
      </w:r>
      <w:r>
        <w:rPr>
          <w:rFonts w:ascii="Open Sans" w:cs="Open Sans" w:eastAsia="Open Sans" w:hAnsi="Open Sans"/>
          <w:color w:val="59595B"/>
          <w:sz w:val="22"/>
          <w:szCs w:val="22"/>
        </w:rPr>
        <w:t xml:space="preserve">Security embedded in everything we do, not bolted on as an afterthought</w:t>
      </w:r>
    </w:p>
    <w:p>
      <w:pPr>
        <w:pStyle w:val="ListParagraph"/>
        <w:numPr>
          <w:ilvl w:val="0"/>
          <w:numId w:val="3"/>
        </w:numPr>
        <w:spacing w:after="60"/>
      </w:pPr>
      <w:r>
        <w:rPr>
          <w:rFonts w:ascii="Open Sans" w:cs="Open Sans" w:eastAsia="Open Sans" w:hAnsi="Open Sans"/>
          <w:b/>
          <w:bCs/>
          <w:color w:val="1A1A2E"/>
          <w:sz w:val="22"/>
          <w:szCs w:val="22"/>
        </w:rPr>
        <w:t xml:space="preserve">AI-Forward Innovation — </w:t>
      </w:r>
      <w:r>
        <w:rPr>
          <w:rFonts w:ascii="Open Sans" w:cs="Open Sans" w:eastAsia="Open Sans" w:hAnsi="Open Sans"/>
          <w:color w:val="59595B"/>
          <w:sz w:val="22"/>
          <w:szCs w:val="22"/>
        </w:rPr>
        <w:t xml:space="preserve">Helping clients leverage AI, automation, and modern development practices</w:t>
      </w:r>
    </w:p>
    <w:p>
      <w:r>
        <w:br w:type="page"/>
      </w:r>
    </w:p>
    <w:p>
      <w:pPr>
        <w:pStyle w:val="Heading1"/>
      </w:pPr>
      <w:r>
        <w:t xml:space="preserve">2. Brand Positioning</w:t>
      </w:r>
    </w:p>
    <w:p>
      <w:pPr>
        <w:pBdr>
          <w:bottom w:val="single" w:color="F67D4B" w:sz="6" w:space="1"/>
        </w:pBdr>
        <w:spacing w:after="200"/>
      </w:pPr>
    </w:p>
    <w:p>
      <w:pPr>
        <w:pStyle w:val="Heading2"/>
      </w:pPr>
      <w:r>
        <w:t xml:space="preserve">Positioning Statement</w:t>
      </w:r>
    </w:p>
    <w:p>
      <w:pPr>
        <w:spacing w:after="120"/>
      </w:pPr>
      <w:r>
        <w:rPr>
          <w:rFonts w:ascii="Open Sans" w:cs="Open Sans" w:eastAsia="Open Sans" w:hAnsi="Open Sans"/>
          <w:color w:val="59595B"/>
          <w:sz w:val="22"/>
          <w:szCs w:val="22"/>
        </w:rPr>
        <w:t xml:space="preserve">Technijian empowers small and mid-sized businesses with proactive IT management, cybersecurity, and AI-driven solutions — delivering enterprise-grade technology support with the responsiveness of a dedicated partner.</w:t>
      </w:r>
    </w:p>
    <w:p>
      <w:pPr>
        <w:spacing w:after="80"/>
      </w:pPr>
    </w:p>
    <w:p>
      <w:pPr>
        <w:pStyle w:val="Heading2"/>
      </w:pPr>
      <w:r>
        <w:t xml:space="preserve">Tagline</w:t>
      </w:r>
    </w:p>
    <w:p>
      <w:pPr>
        <w:spacing w:after="120"/>
      </w:pPr>
      <w:r>
        <w:rPr>
          <w:rFonts w:ascii="Open Sans" w:cs="Open Sans" w:eastAsia="Open Sans" w:hAnsi="Open Sans"/>
          <w:b/>
          <w:bCs/>
          <w:i/>
          <w:iCs/>
          <w:color w:val="F67D4B"/>
          <w:sz w:val="28"/>
          <w:szCs w:val="28"/>
        </w:rPr>
        <w:t xml:space="preserve">Technology Support, Your Way.</w:t>
      </w:r>
    </w:p>
    <w:p>
      <w:pPr>
        <w:spacing w:after="120"/>
      </w:pPr>
      <w:r>
        <w:rPr>
          <w:rFonts w:ascii="Open Sans" w:cs="Open Sans" w:eastAsia="Open Sans" w:hAnsi="Open Sans"/>
          <w:color w:val="59595B"/>
          <w:sz w:val="22"/>
          <w:szCs w:val="22"/>
        </w:rPr>
        <w:t xml:space="preserve">This tagline has been a constant through Technijian’s evolution and remains the foundation of our brand promise. It communicates flexibility, client-centricity, and partnership.</w:t>
      </w:r>
    </w:p>
    <w:p>
      <w:pPr>
        <w:spacing w:after="80"/>
      </w:pPr>
    </w:p>
    <w:p>
      <w:pPr>
        <w:pStyle w:val="Heading2"/>
      </w:pPr>
      <w:r>
        <w:t xml:space="preserve">Brand Promise</w:t>
      </w:r>
    </w:p>
    <w:p>
      <w:pPr>
        <w:spacing w:after="120"/>
      </w:pPr>
      <w:r>
        <w:rPr>
          <w:rFonts w:ascii="Open Sans" w:cs="Open Sans" w:eastAsia="Open Sans" w:hAnsi="Open Sans"/>
          <w:color w:val="59595B"/>
          <w:sz w:val="22"/>
          <w:szCs w:val="22"/>
        </w:rPr>
        <w:t xml:space="preserve">We exist so our clients can focus on growing their businesses, not managing their technology. Every engagement is built on transparent pricing, proactive monitoring, and genuine partnership.</w:t>
      </w:r>
    </w:p>
    <w:p>
      <w:r>
        <w:br w:type="page"/>
      </w:r>
    </w:p>
    <w:p>
      <w:pPr>
        <w:pStyle w:val="Heading1"/>
      </w:pPr>
      <w:r>
        <w:t xml:space="preserve">3. Brand Personality &amp; Voice</w:t>
      </w:r>
    </w:p>
    <w:p>
      <w:pPr>
        <w:pBdr>
          <w:bottom w:val="single" w:color="F67D4B" w:sz="6" w:space="1"/>
        </w:pBdr>
        <w:spacing w:after="200"/>
      </w:pPr>
    </w:p>
    <w:p>
      <w:pPr>
        <w:pStyle w:val="Heading2"/>
      </w:pPr>
      <w:r>
        <w:t xml:space="preserve">Brand Archetypes</w:t>
      </w:r>
    </w:p>
    <w:p>
      <w:pPr>
        <w:spacing w:after="120"/>
      </w:pPr>
      <w:r>
        <w:rPr>
          <w:rFonts w:ascii="Open Sans" w:cs="Open Sans" w:eastAsia="Open Sans" w:hAnsi="Open Sans"/>
          <w:color w:val="59595B"/>
          <w:sz w:val="22"/>
          <w:szCs w:val="22"/>
        </w:rPr>
        <w:t xml:space="preserve">If Technijian were a person, these archetypes describe who we are:</w:t>
      </w:r>
    </w:p>
    <w:p>
      <w:pPr>
        <w:pStyle w:val="ListParagraph"/>
        <w:numPr>
          <w:ilvl w:val="0"/>
          <w:numId w:val="4"/>
        </w:numPr>
        <w:spacing w:after="60"/>
      </w:pPr>
      <w:r>
        <w:rPr>
          <w:rFonts w:ascii="Open Sans" w:cs="Open Sans" w:eastAsia="Open Sans" w:hAnsi="Open Sans"/>
          <w:b/>
          <w:bCs/>
          <w:color w:val="1A1A2E"/>
          <w:sz w:val="22"/>
          <w:szCs w:val="22"/>
        </w:rPr>
        <w:t xml:space="preserve">Trusted Advisor — </w:t>
      </w:r>
      <w:r>
        <w:rPr>
          <w:rFonts w:ascii="Open Sans" w:cs="Open Sans" w:eastAsia="Open Sans" w:hAnsi="Open Sans"/>
          <w:color w:val="59595B"/>
          <w:sz w:val="22"/>
          <w:szCs w:val="22"/>
        </w:rPr>
        <w:t xml:space="preserve">Knowledgeable, dependable, always available, never condescending</w:t>
      </w:r>
    </w:p>
    <w:p>
      <w:pPr>
        <w:pStyle w:val="ListParagraph"/>
        <w:numPr>
          <w:ilvl w:val="0"/>
          <w:numId w:val="4"/>
        </w:numPr>
        <w:spacing w:after="60"/>
      </w:pPr>
      <w:r>
        <w:rPr>
          <w:rFonts w:ascii="Open Sans" w:cs="Open Sans" w:eastAsia="Open Sans" w:hAnsi="Open Sans"/>
          <w:b/>
          <w:bCs/>
          <w:color w:val="1A1A2E"/>
          <w:sz w:val="22"/>
          <w:szCs w:val="22"/>
        </w:rPr>
        <w:t xml:space="preserve">Proactive Partner — </w:t>
      </w:r>
      <w:r>
        <w:rPr>
          <w:rFonts w:ascii="Open Sans" w:cs="Open Sans" w:eastAsia="Open Sans" w:hAnsi="Open Sans"/>
          <w:color w:val="59595B"/>
          <w:sz w:val="22"/>
          <w:szCs w:val="22"/>
        </w:rPr>
        <w:t xml:space="preserve">Anticipates problems before they arise, invested in your success</w:t>
      </w:r>
    </w:p>
    <w:p>
      <w:pPr>
        <w:pStyle w:val="ListParagraph"/>
        <w:numPr>
          <w:ilvl w:val="0"/>
          <w:numId w:val="4"/>
        </w:numPr>
        <w:spacing w:after="60"/>
      </w:pPr>
      <w:r>
        <w:rPr>
          <w:rFonts w:ascii="Open Sans" w:cs="Open Sans" w:eastAsia="Open Sans" w:hAnsi="Open Sans"/>
          <w:b/>
          <w:bCs/>
          <w:color w:val="1A1A2E"/>
          <w:sz w:val="22"/>
          <w:szCs w:val="22"/>
        </w:rPr>
        <w:t xml:space="preserve">Innovative Builder — </w:t>
      </w:r>
      <w:r>
        <w:rPr>
          <w:rFonts w:ascii="Open Sans" w:cs="Open Sans" w:eastAsia="Open Sans" w:hAnsi="Open Sans"/>
          <w:color w:val="59595B"/>
          <w:sz w:val="22"/>
          <w:szCs w:val="22"/>
        </w:rPr>
        <w:t xml:space="preserve">Embraces AI, modern development, and emerging technologies while keeping solutions practical</w:t>
      </w:r>
    </w:p>
    <w:p>
      <w:pPr>
        <w:spacing w:after="80"/>
      </w:pPr>
    </w:p>
    <w:p>
      <w:pPr>
        <w:pStyle w:val="Heading2"/>
      </w:pPr>
      <w:r>
        <w:t xml:space="preserve">Voice &amp; Tone</w:t>
      </w:r>
    </w:p>
    <w:p>
      <w:pPr>
        <w:spacing w:after="120"/>
      </w:pPr>
      <w:r>
        <w:rPr>
          <w:rFonts w:ascii="Open Sans" w:cs="Open Sans" w:eastAsia="Open Sans" w:hAnsi="Open Sans"/>
          <w:color w:val="59595B"/>
          <w:sz w:val="22"/>
          <w:szCs w:val="22"/>
        </w:rPr>
        <w:t xml:space="preserve">Technijian’s voice is down-to-earth and non-corporate. We are a knowledgeable friend offering clear, helpful guidance — never talking over someone’s head or using jargon for its own sake.</w:t>
      </w:r>
    </w:p>
    <w:p>
      <w:pPr>
        <w:spacing w:after="80"/>
      </w:pPr>
    </w:p>
    <w:p>
      <w:pPr>
        <w:spacing w:after="120"/>
      </w:pPr>
      <w:r>
        <w:rPr>
          <w:rFonts w:ascii="Open Sans" w:cs="Open Sans" w:eastAsia="Open Sans" w:hAnsi="Open Sans"/>
          <w:b/>
          <w:bCs/>
          <w:color w:val="1A1A2E"/>
          <w:sz w:val="22"/>
          <w:szCs w:val="22"/>
        </w:rPr>
        <w:t xml:space="preserve">Friendly, </w:t>
      </w:r>
      <w:r>
        <w:rPr>
          <w:rFonts w:ascii="Open Sans" w:cs="Open Sans" w:eastAsia="Open Sans" w:hAnsi="Open Sans"/>
          <w:color w:val="59595B"/>
          <w:sz w:val="22"/>
          <w:szCs w:val="22"/>
        </w:rPr>
        <w:t xml:space="preserve">but not unprofessional</w:t>
      </w:r>
    </w:p>
    <w:p>
      <w:pPr>
        <w:spacing w:after="120"/>
      </w:pPr>
      <w:r>
        <w:rPr>
          <w:rFonts w:ascii="Open Sans" w:cs="Open Sans" w:eastAsia="Open Sans" w:hAnsi="Open Sans"/>
          <w:b/>
          <w:bCs/>
          <w:color w:val="1A1A2E"/>
          <w:sz w:val="22"/>
          <w:szCs w:val="22"/>
        </w:rPr>
        <w:t xml:space="preserve">Informative, </w:t>
      </w:r>
      <w:r>
        <w:rPr>
          <w:rFonts w:ascii="Open Sans" w:cs="Open Sans" w:eastAsia="Open Sans" w:hAnsi="Open Sans"/>
          <w:color w:val="59595B"/>
          <w:sz w:val="22"/>
          <w:szCs w:val="22"/>
        </w:rPr>
        <w:t xml:space="preserve">but not authoritative</w:t>
      </w:r>
    </w:p>
    <w:p>
      <w:pPr>
        <w:spacing w:after="120"/>
      </w:pPr>
      <w:r>
        <w:rPr>
          <w:rFonts w:ascii="Open Sans" w:cs="Open Sans" w:eastAsia="Open Sans" w:hAnsi="Open Sans"/>
          <w:b/>
          <w:bCs/>
          <w:color w:val="1A1A2E"/>
          <w:sz w:val="22"/>
          <w:szCs w:val="22"/>
        </w:rPr>
        <w:t xml:space="preserve">Smart, </w:t>
      </w:r>
      <w:r>
        <w:rPr>
          <w:rFonts w:ascii="Open Sans" w:cs="Open Sans" w:eastAsia="Open Sans" w:hAnsi="Open Sans"/>
          <w:color w:val="59595B"/>
          <w:sz w:val="22"/>
          <w:szCs w:val="22"/>
        </w:rPr>
        <w:t xml:space="preserve">but not complicated</w:t>
      </w:r>
    </w:p>
    <w:p>
      <w:pPr>
        <w:spacing w:after="120"/>
      </w:pPr>
      <w:r>
        <w:rPr>
          <w:rFonts w:ascii="Open Sans" w:cs="Open Sans" w:eastAsia="Open Sans" w:hAnsi="Open Sans"/>
          <w:b/>
          <w:bCs/>
          <w:color w:val="1A1A2E"/>
          <w:sz w:val="22"/>
          <w:szCs w:val="22"/>
        </w:rPr>
        <w:t xml:space="preserve">Confident, </w:t>
      </w:r>
      <w:r>
        <w:rPr>
          <w:rFonts w:ascii="Open Sans" w:cs="Open Sans" w:eastAsia="Open Sans" w:hAnsi="Open Sans"/>
          <w:color w:val="59595B"/>
          <w:sz w:val="22"/>
          <w:szCs w:val="22"/>
        </w:rPr>
        <w:t xml:space="preserve">but not showy</w:t>
      </w:r>
    </w:p>
    <w:p>
      <w:pPr>
        <w:spacing w:after="120"/>
      </w:pPr>
      <w:r>
        <w:rPr>
          <w:rFonts w:ascii="Open Sans" w:cs="Open Sans" w:eastAsia="Open Sans" w:hAnsi="Open Sans"/>
          <w:b/>
          <w:bCs/>
          <w:color w:val="1A1A2E"/>
          <w:sz w:val="22"/>
          <w:szCs w:val="22"/>
        </w:rPr>
        <w:t xml:space="preserve">Proactive, </w:t>
      </w:r>
      <w:r>
        <w:rPr>
          <w:rFonts w:ascii="Open Sans" w:cs="Open Sans" w:eastAsia="Open Sans" w:hAnsi="Open Sans"/>
          <w:color w:val="59595B"/>
          <w:sz w:val="22"/>
          <w:szCs w:val="22"/>
        </w:rPr>
        <w:t xml:space="preserve">but not pushy</w:t>
      </w:r>
    </w:p>
    <w:p>
      <w:pPr>
        <w:spacing w:after="80"/>
      </w:pPr>
    </w:p>
    <w:p>
      <w:pPr>
        <w:pStyle w:val="Heading2"/>
      </w:pPr>
      <w:r>
        <w:t xml:space="preserve">Writing Guidelines by Channel</w:t>
      </w:r>
    </w:p>
    <w:p>
      <w:pPr>
        <w:pStyle w:val="ListParagraph"/>
        <w:numPr>
          <w:ilvl w:val="0"/>
          <w:numId w:val="5"/>
        </w:numPr>
        <w:spacing w:after="60"/>
      </w:pPr>
      <w:r>
        <w:rPr>
          <w:rFonts w:ascii="Open Sans" w:cs="Open Sans" w:eastAsia="Open Sans" w:hAnsi="Open Sans"/>
          <w:b/>
          <w:bCs/>
          <w:color w:val="1A1A2E"/>
          <w:sz w:val="22"/>
          <w:szCs w:val="22"/>
        </w:rPr>
        <w:t xml:space="preserve">Website copy: </w:t>
      </w:r>
      <w:r>
        <w:rPr>
          <w:rFonts w:ascii="Open Sans" w:cs="Open Sans" w:eastAsia="Open Sans" w:hAnsi="Open Sans"/>
          <w:color w:val="59595B"/>
          <w:sz w:val="22"/>
          <w:szCs w:val="22"/>
        </w:rPr>
        <w:t xml:space="preserve">Lead with the client’s challenge, then present our solution. Keep sentences direct. Avoid buzzword stacking.</w:t>
      </w:r>
    </w:p>
    <w:p>
      <w:pPr>
        <w:pStyle w:val="ListParagraph"/>
        <w:numPr>
          <w:ilvl w:val="0"/>
          <w:numId w:val="5"/>
        </w:numPr>
        <w:spacing w:after="60"/>
      </w:pPr>
      <w:r>
        <w:rPr>
          <w:rFonts w:ascii="Open Sans" w:cs="Open Sans" w:eastAsia="Open Sans" w:hAnsi="Open Sans"/>
          <w:b/>
          <w:bCs/>
          <w:color w:val="1A1A2E"/>
          <w:sz w:val="22"/>
          <w:szCs w:val="22"/>
        </w:rPr>
        <w:t xml:space="preserve">Blog &amp; podcast: </w:t>
      </w:r>
      <w:r>
        <w:rPr>
          <w:rFonts w:ascii="Open Sans" w:cs="Open Sans" w:eastAsia="Open Sans" w:hAnsi="Open Sans"/>
          <w:color w:val="59595B"/>
          <w:sz w:val="22"/>
          <w:szCs w:val="22"/>
        </w:rPr>
        <w:t xml:space="preserve">Educational and conversational. Establish expertise through practical advice, not self-promotion.</w:t>
      </w:r>
    </w:p>
    <w:p>
      <w:pPr>
        <w:pStyle w:val="ListParagraph"/>
        <w:numPr>
          <w:ilvl w:val="0"/>
          <w:numId w:val="5"/>
        </w:numPr>
        <w:spacing w:after="60"/>
      </w:pPr>
      <w:r>
        <w:rPr>
          <w:rFonts w:ascii="Open Sans" w:cs="Open Sans" w:eastAsia="Open Sans" w:hAnsi="Open Sans"/>
          <w:b/>
          <w:bCs/>
          <w:color w:val="1A1A2E"/>
          <w:sz w:val="22"/>
          <w:szCs w:val="22"/>
        </w:rPr>
        <w:t xml:space="preserve">Social media: </w:t>
      </w:r>
      <w:r>
        <w:rPr>
          <w:rFonts w:ascii="Open Sans" w:cs="Open Sans" w:eastAsia="Open Sans" w:hAnsi="Open Sans"/>
          <w:color w:val="59595B"/>
          <w:sz w:val="22"/>
          <w:szCs w:val="22"/>
        </w:rPr>
        <w:t xml:space="preserve">Concise and accessible. One idea per post. Conversational tone. Avoid excessive hashtags or clickbait.</w:t>
      </w:r>
    </w:p>
    <w:p>
      <w:pPr>
        <w:pStyle w:val="ListParagraph"/>
        <w:numPr>
          <w:ilvl w:val="0"/>
          <w:numId w:val="5"/>
        </w:numPr>
        <w:spacing w:after="60"/>
      </w:pPr>
      <w:r>
        <w:rPr>
          <w:rFonts w:ascii="Open Sans" w:cs="Open Sans" w:eastAsia="Open Sans" w:hAnsi="Open Sans"/>
          <w:b/>
          <w:bCs/>
          <w:color w:val="1A1A2E"/>
          <w:sz w:val="22"/>
          <w:szCs w:val="22"/>
        </w:rPr>
        <w:t xml:space="preserve">Sales proposals: </w:t>
      </w:r>
      <w:r>
        <w:rPr>
          <w:rFonts w:ascii="Open Sans" w:cs="Open Sans" w:eastAsia="Open Sans" w:hAnsi="Open Sans"/>
          <w:color w:val="59595B"/>
          <w:sz w:val="22"/>
          <w:szCs w:val="22"/>
        </w:rPr>
        <w:t xml:space="preserve">Professional but warm. Clear scope, transparent pricing, no hidden terms.</w:t>
      </w:r>
    </w:p>
    <w:p>
      <w:pPr>
        <w:pStyle w:val="ListParagraph"/>
        <w:numPr>
          <w:ilvl w:val="0"/>
          <w:numId w:val="5"/>
        </w:numPr>
        <w:spacing w:after="60"/>
      </w:pPr>
      <w:r>
        <w:rPr>
          <w:rFonts w:ascii="Open Sans" w:cs="Open Sans" w:eastAsia="Open Sans" w:hAnsi="Open Sans"/>
          <w:b/>
          <w:bCs/>
          <w:color w:val="1A1A2E"/>
          <w:sz w:val="22"/>
          <w:szCs w:val="22"/>
        </w:rPr>
        <w:t xml:space="preserve">Email marketing: </w:t>
      </w:r>
      <w:r>
        <w:rPr>
          <w:rFonts w:ascii="Open Sans" w:cs="Open Sans" w:eastAsia="Open Sans" w:hAnsi="Open Sans"/>
          <w:color w:val="59595B"/>
          <w:sz w:val="22"/>
          <w:szCs w:val="22"/>
        </w:rPr>
        <w:t xml:space="preserve">Value-driven subject lines. Respect the reader’s time. Clear call to action.</w:t>
      </w:r>
    </w:p>
    <w:p>
      <w:r>
        <w:br w:type="page"/>
      </w:r>
    </w:p>
    <w:p>
      <w:pPr>
        <w:pStyle w:val="Heading1"/>
      </w:pPr>
      <w:r>
        <w:t xml:space="preserve">4. Visual Identity</w:t>
      </w:r>
    </w:p>
    <w:p>
      <w:pPr>
        <w:pBdr>
          <w:bottom w:val="single" w:color="F67D4B" w:sz="6" w:space="1"/>
        </w:pBdr>
        <w:spacing w:after="200"/>
      </w:pPr>
    </w:p>
    <w:p>
      <w:pPr>
        <w:pStyle w:val="Heading2"/>
      </w:pPr>
      <w:r>
        <w:t xml:space="preserve">Logo Usage</w:t>
      </w:r>
    </w:p>
    <w:p>
      <w:pPr>
        <w:spacing w:after="120"/>
      </w:pPr>
      <w:r>
        <w:rPr>
          <w:rFonts w:ascii="Open Sans" w:cs="Open Sans" w:eastAsia="Open Sans" w:hAnsi="Open Sans"/>
          <w:color w:val="59595B"/>
          <w:sz w:val="22"/>
          <w:szCs w:val="22"/>
        </w:rPr>
        <w:t xml:space="preserve">The Technijian logo consists of the multi-colored dot grid icon alongside the “TECHNIJIAN” wordmark with the tagline “technology as a solution” beneath it.</w:t>
      </w:r>
    </w:p>
    <w:p>
      <w:pPr>
        <w:spacing w:after="80"/>
      </w:pPr>
    </w:p>
    <w:p>
      <w:pPr>
        <w:pStyle w:val="ListParagraph"/>
        <w:numPr>
          <w:ilvl w:val="0"/>
          <w:numId w:val="6"/>
        </w:numPr>
        <w:spacing w:after="60"/>
      </w:pPr>
      <w:r>
        <w:rPr>
          <w:rFonts w:ascii="Open Sans" w:cs="Open Sans" w:eastAsia="Open Sans" w:hAnsi="Open Sans"/>
          <w:color w:val="59595B"/>
          <w:sz w:val="22"/>
          <w:szCs w:val="22"/>
        </w:rPr>
        <w:t xml:space="preserve">Minimum display size: 3 inches wide (proportionally scaled)</w:t>
      </w:r>
    </w:p>
    <w:p>
      <w:pPr>
        <w:pStyle w:val="ListParagraph"/>
        <w:numPr>
          <w:ilvl w:val="0"/>
          <w:numId w:val="6"/>
        </w:numPr>
        <w:spacing w:after="60"/>
      </w:pPr>
      <w:r>
        <w:rPr>
          <w:rFonts w:ascii="Open Sans" w:cs="Open Sans" w:eastAsia="Open Sans" w:hAnsi="Open Sans"/>
          <w:color w:val="59595B"/>
          <w:sz w:val="22"/>
          <w:szCs w:val="22"/>
        </w:rPr>
        <w:t xml:space="preserve">Use the standard logo on light backgrounds</w:t>
      </w:r>
    </w:p>
    <w:p>
      <w:pPr>
        <w:pStyle w:val="ListParagraph"/>
        <w:numPr>
          <w:ilvl w:val="0"/>
          <w:numId w:val="6"/>
        </w:numPr>
        <w:spacing w:after="60"/>
      </w:pPr>
      <w:r>
        <w:rPr>
          <w:rFonts w:ascii="Open Sans" w:cs="Open Sans" w:eastAsia="Open Sans" w:hAnsi="Open Sans"/>
          <w:color w:val="59595B"/>
          <w:sz w:val="22"/>
          <w:szCs w:val="22"/>
        </w:rPr>
        <w:t xml:space="preserve">Use the reverse (white) logo on dark backgrounds</w:t>
      </w:r>
    </w:p>
    <w:p>
      <w:pPr>
        <w:pStyle w:val="ListParagraph"/>
        <w:numPr>
          <w:ilvl w:val="0"/>
          <w:numId w:val="6"/>
        </w:numPr>
        <w:spacing w:after="60"/>
      </w:pPr>
      <w:r>
        <w:rPr>
          <w:rFonts w:ascii="Open Sans" w:cs="Open Sans" w:eastAsia="Open Sans" w:hAnsi="Open Sans"/>
          <w:color w:val="59595B"/>
          <w:sz w:val="22"/>
          <w:szCs w:val="22"/>
        </w:rPr>
        <w:t xml:space="preserve">Never remove, add, rotate, stretch, or resize individual elements</w:t>
      </w:r>
    </w:p>
    <w:p>
      <w:pPr>
        <w:pStyle w:val="ListParagraph"/>
        <w:numPr>
          <w:ilvl w:val="0"/>
          <w:numId w:val="6"/>
        </w:numPr>
        <w:spacing w:after="60"/>
      </w:pPr>
      <w:r>
        <w:rPr>
          <w:rFonts w:ascii="Open Sans" w:cs="Open Sans" w:eastAsia="Open Sans" w:hAnsi="Open Sans"/>
          <w:color w:val="59595B"/>
          <w:sz w:val="22"/>
          <w:szCs w:val="22"/>
        </w:rPr>
        <w:t xml:space="preserve">Never alter kerning or cover up portions of the logo</w:t>
      </w:r>
    </w:p>
    <w:p>
      <w:pPr>
        <w:pStyle w:val="ListParagraph"/>
        <w:numPr>
          <w:ilvl w:val="0"/>
          <w:numId w:val="6"/>
        </w:numPr>
        <w:spacing w:after="60"/>
      </w:pPr>
      <w:r>
        <w:rPr>
          <w:rFonts w:ascii="Open Sans" w:cs="Open Sans" w:eastAsia="Open Sans" w:hAnsi="Open Sans"/>
          <w:color w:val="59595B"/>
          <w:sz w:val="22"/>
          <w:szCs w:val="22"/>
        </w:rPr>
        <w:t xml:space="preserve">Maintain designated clearspace on all sides</w:t>
      </w:r>
    </w:p>
    <w:p>
      <w:pPr>
        <w:spacing w:after="80"/>
      </w:pPr>
    </w:p>
    <w:p>
      <w:pPr>
        <w:pStyle w:val="Heading2"/>
      </w:pPr>
      <w:r>
        <w:t xml:space="preserve">Color Palette</w:t>
      </w:r>
    </w:p>
    <w:p>
      <w:pPr>
        <w:spacing w:after="100" w:before="200"/>
      </w:pPr>
      <w:r>
        <w:rPr>
          <w:rFonts w:ascii="Open Sans" w:cs="Open Sans" w:eastAsia="Open Sans" w:hAnsi="Open Sans"/>
          <w:b/>
          <w:bCs/>
          <w:color w:val="1A1A2E"/>
          <w:sz w:val="24"/>
          <w:szCs w:val="24"/>
        </w:rP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3000"/>
      </w:tblGrid>
      <w:tr>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Color</w:t>
            </w:r>
          </w:p>
        </w:tc>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Hex</w:t>
            </w:r>
          </w:p>
        </w:tc>
        <w:tc>
          <w:tcPr>
            <w:tcW w:type="dxa" w:w="276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RGB</w:t>
            </w:r>
          </w:p>
        </w:tc>
        <w:tc>
          <w:tcPr>
            <w:tcW w:type="dxa" w:w="30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67D4B"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Core Orange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#F67D4B</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246, 125, 75</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Primary accent, CTAs</w:t>
            </w:r>
          </w:p>
        </w:tc>
      </w:tr>
      <w:tr>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Core Blue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#006DB6</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0, 109, 182</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Headings, links</w:t>
            </w:r>
          </w:p>
        </w:tc>
      </w:tr>
    </w:tbl>
    <w:p>
      <w:pPr>
        <w:spacing w:after="80"/>
      </w:pPr>
    </w:p>
    <w:p>
      <w:pPr>
        <w:spacing w:after="100" w:before="200"/>
      </w:pPr>
      <w:r>
        <w:rPr>
          <w:rFonts w:ascii="Open Sans" w:cs="Open Sans" w:eastAsia="Open Sans" w:hAnsi="Open Sans"/>
          <w:b/>
          <w:bCs/>
          <w:color w:val="1A1A2E"/>
          <w:sz w:val="24"/>
          <w:szCs w:val="24"/>
        </w:rPr>
        <w:t xml:space="preserve">Secondary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3000"/>
      </w:tblGrid>
      <w:tr>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Color</w:t>
            </w:r>
          </w:p>
        </w:tc>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Hex</w:t>
            </w:r>
          </w:p>
        </w:tc>
        <w:tc>
          <w:tcPr>
            <w:tcW w:type="dxa" w:w="276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RGB</w:t>
            </w:r>
          </w:p>
        </w:tc>
        <w:tc>
          <w:tcPr>
            <w:tcW w:type="dxa" w:w="30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1EAAC8"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Blue/Green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#1EAAC8</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30, 170, 200</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Icons, secondary elements</w:t>
            </w:r>
          </w:p>
        </w:tc>
      </w:tr>
      <w:tr>
        <w:tc>
          <w:tcPr>
            <w:tcW w:type="dxa" w:w="1800"/>
            <w:tcBorders>
              <w:top w:val="single" w:color="CCCCCC" w:sz="1"/>
              <w:left w:val="single" w:color="CCCCCC" w:sz="1"/>
              <w:bottom w:val="single" w:color="CCCCCC" w:sz="1"/>
              <w:right w:val="single" w:color="CCCCCC" w:sz="1"/>
            </w:tcBorders>
            <w:shd w:fill="CBDB2D"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Chartreuse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#CBDB2D</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203, 219, 45</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Highlights, callouts</w:t>
            </w:r>
          </w:p>
        </w:tc>
      </w:tr>
      <w:tr>
        <w:tc>
          <w:tcPr>
            <w:tcW w:type="dxa" w:w="1800"/>
            <w:tcBorders>
              <w:top w:val="single" w:color="CCCCCC" w:sz="1"/>
              <w:left w:val="single" w:color="CCCCCC" w:sz="1"/>
              <w:bottom w:val="single" w:color="CCCCCC" w:sz="1"/>
              <w:right w:val="single" w:color="CCCCCC" w:sz="1"/>
            </w:tcBorders>
            <w:shd w:fill="59595B"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Grey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#59595B</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110, 111, 114</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Body text, captions</w:t>
            </w:r>
          </w:p>
        </w:tc>
      </w:tr>
    </w:tbl>
    <w:p>
      <w:pPr>
        <w:spacing w:after="80"/>
      </w:pPr>
    </w:p>
    <w:p>
      <w:pPr>
        <w:spacing w:after="100" w:before="200"/>
      </w:pPr>
      <w:r>
        <w:rPr>
          <w:rFonts w:ascii="Open Sans" w:cs="Open Sans" w:eastAsia="Open Sans" w:hAnsi="Open Sans"/>
          <w:b/>
          <w:bCs/>
          <w:color w:val="1A1A2E"/>
          <w:sz w:val="24"/>
          <w:szCs w:val="24"/>
        </w:rPr>
        <w:t xml:space="preserve">Extended Digital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3000"/>
      </w:tblGrid>
      <w:tr>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Color</w:t>
            </w:r>
          </w:p>
        </w:tc>
        <w:tc>
          <w:tcPr>
            <w:tcW w:type="dxa" w:w="18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Hex</w:t>
            </w:r>
          </w:p>
        </w:tc>
        <w:tc>
          <w:tcPr>
            <w:tcW w:type="dxa" w:w="276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RGB</w:t>
            </w:r>
          </w:p>
        </w:tc>
        <w:tc>
          <w:tcPr>
            <w:tcW w:type="dxa" w:w="3000"/>
            <w:tcBorders>
              <w:top w:val="single" w:color="CCCCCC" w:sz="1"/>
              <w:left w:val="single" w:color="CCCCCC" w:sz="1"/>
              <w:bottom w:val="single" w:color="CCCCCC" w:sz="1"/>
              <w:right w:val="single" w:color="CCCCCC" w:sz="1"/>
            </w:tcBorders>
            <w:shd w:fill="006DB6" w:val="clear"/>
            <w:tcMar>
              <w:top w:type="dxa" w:w="60"/>
              <w:left w:type="dxa" w:w="100"/>
              <w:bottom w:type="dxa" w:w="60"/>
              <w:right w:type="dxa" w:w="100"/>
            </w:tcMar>
          </w:tcPr>
          <w:p>
            <w:r>
              <w:rPr>
                <w:rFonts w:ascii="Open Sans" w:cs="Open Sans" w:eastAsia="Open Sans" w:hAnsi="Open Sans"/>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Dark Charcoal</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#1A1A2E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26, 26, 46</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Dark backgrounds</w:t>
            </w:r>
          </w:p>
        </w:tc>
      </w:tr>
      <w:tr>
        <w:tc>
          <w:tcPr>
            <w:tcW w:type="dxa" w:w="18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Near Black</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#2D2D2D</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45, 45, 45</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Footer backgrounds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Off White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#F8F9FA</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248, 249, 250</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Page backgrounds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Open Sans" w:cs="Open Sans" w:eastAsia="Open Sans" w:hAnsi="Open Sans"/>
                <w:b w:val="false"/>
                <w:bCs w:val="false"/>
                <w:color w:val="1A1A2E"/>
                <w:sz w:val="20"/>
                <w:szCs w:val="20"/>
              </w:rPr>
              <w:t xml:space="preserve">White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#FFFFFF</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255, 255, 255</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Open Sans" w:cs="Open Sans" w:eastAsia="Open Sans" w:hAnsi="Open Sans"/>
                <w:b w:val="false"/>
                <w:bCs w:val="false"/>
                <w:color w:val="59595B"/>
                <w:sz w:val="20"/>
                <w:szCs w:val="20"/>
              </w:rPr>
              <w:t xml:space="preserve">Content areas</w:t>
            </w:r>
          </w:p>
        </w:tc>
      </w:tr>
    </w:tbl>
    <w:p>
      <w:pPr>
        <w:spacing w:after="80"/>
      </w:pPr>
    </w:p>
    <w:p>
      <w:pPr>
        <w:pStyle w:val="Heading2"/>
      </w:pPr>
      <w:r>
        <w:t xml:space="preserve">Typography</w:t>
      </w:r>
    </w:p>
    <w:p>
      <w:pPr>
        <w:spacing w:after="120"/>
      </w:pPr>
      <w:r>
        <w:rPr>
          <w:rFonts w:ascii="Open Sans" w:cs="Open Sans" w:eastAsia="Open Sans" w:hAnsi="Open Sans"/>
          <w:color w:val="59595B"/>
          <w:sz w:val="22"/>
          <w:szCs w:val="22"/>
        </w:rPr>
        <w:t xml:space="preserve">Primary typeface: Open Sans (Google Fonts). Three weights are approved for all Technijian communications: Bold for headlines and CTAs, Regular for body text and subheads, and Light for supporting text and captions.</w:t>
      </w:r>
    </w:p>
    <w:p>
      <w:pPr>
        <w:spacing w:after="80"/>
      </w:pPr>
    </w:p>
    <w:p>
      <w:pPr>
        <w:spacing w:after="120"/>
      </w:pPr>
      <w:r>
        <w:rPr>
          <w:rFonts w:ascii="Open Sans" w:cs="Open Sans" w:eastAsia="Open Sans" w:hAnsi="Open Sans"/>
          <w:color w:val="59595B"/>
          <w:sz w:val="22"/>
          <w:szCs w:val="22"/>
        </w:rPr>
        <w:t xml:space="preserve">Headlines should be set in Open Sans Bold with title case. Subheads use Open Sans Regular. Body text and small bodies of copy use Open Sans Regular. Text should always be left-justified.</w:t>
      </w:r>
    </w:p>
    <w:p>
      <w:r>
        <w:br w:type="page"/>
      </w:r>
    </w:p>
    <w:p>
      <w:pPr>
        <w:pStyle w:val="Heading1"/>
      </w:pPr>
      <w:r>
        <w:t xml:space="preserve">5. Photography &amp; Graphics</w:t>
      </w:r>
    </w:p>
    <w:p>
      <w:pPr>
        <w:pBdr>
          <w:bottom w:val="single" w:color="F67D4B" w:sz="6" w:space="1"/>
        </w:pBdr>
        <w:spacing w:after="200"/>
      </w:pPr>
    </w:p>
    <w:p>
      <w:pPr>
        <w:pStyle w:val="Heading2"/>
      </w:pPr>
      <w:r>
        <w:t xml:space="preserve">Photography Style</w:t>
      </w:r>
    </w:p>
    <w:p>
      <w:pPr>
        <w:spacing w:after="120"/>
      </w:pPr>
      <w:r>
        <w:rPr>
          <w:rFonts w:ascii="Open Sans" w:cs="Open Sans" w:eastAsia="Open Sans" w:hAnsi="Open Sans"/>
          <w:color w:val="59595B"/>
          <w:sz w:val="22"/>
          <w:szCs w:val="22"/>
        </w:rPr>
        <w:t xml:space="preserve">Two approved image treatments are defined for different contexts:</w:t>
      </w:r>
    </w:p>
    <w:p>
      <w:pPr>
        <w:spacing w:after="80"/>
      </w:pPr>
    </w:p>
    <w:p>
      <w:pPr>
        <w:spacing w:after="120"/>
      </w:pPr>
      <w:r>
        <w:rPr>
          <w:rFonts w:ascii="Open Sans" w:cs="Open Sans" w:eastAsia="Open Sans" w:hAnsi="Open Sans"/>
          <w:b/>
          <w:bCs/>
          <w:color w:val="1A1A2E"/>
          <w:sz w:val="22"/>
          <w:szCs w:val="22"/>
        </w:rPr>
        <w:t xml:space="preserve">Dark Tech Aesthetic </w:t>
      </w:r>
      <w:r>
        <w:rPr>
          <w:rFonts w:ascii="Open Sans" w:cs="Open Sans" w:eastAsia="Open Sans" w:hAnsi="Open Sans"/>
          <w:color w:val="59595B"/>
          <w:sz w:val="22"/>
          <w:szCs w:val="22"/>
        </w:rPr>
        <w:t xml:space="preserve">(hero sections, title slides, landing pages): Start with a relevant technology image, desaturate, darken, and apply a black overlay at 50% opacity. Use with white or orange text overlaid.</w:t>
      </w:r>
    </w:p>
    <w:p>
      <w:pPr>
        <w:spacing w:after="80"/>
      </w:pPr>
    </w:p>
    <w:p>
      <w:pPr>
        <w:spacing w:after="120"/>
      </w:pPr>
      <w:r>
        <w:rPr>
          <w:rFonts w:ascii="Open Sans" w:cs="Open Sans" w:eastAsia="Open Sans" w:hAnsi="Open Sans"/>
          <w:b/>
          <w:bCs/>
          <w:color w:val="1A1A2E"/>
          <w:sz w:val="22"/>
          <w:szCs w:val="22"/>
        </w:rPr>
        <w:t xml:space="preserve">Light People-Focused </w:t>
      </w:r>
      <w:r>
        <w:rPr>
          <w:rFonts w:ascii="Open Sans" w:cs="Open Sans" w:eastAsia="Open Sans" w:hAnsi="Open Sans"/>
          <w:color w:val="59595B"/>
          <w:sz w:val="22"/>
          <w:szCs w:val="22"/>
        </w:rPr>
        <w:t xml:space="preserve">(about pages, testimonials, team profiles): Bright, naturally lit photographs showing real people in professional settings. Convey warmth, approachability, and competence.</w:t>
      </w:r>
    </w:p>
    <w:p>
      <w:pPr>
        <w:spacing w:after="80"/>
      </w:pPr>
    </w:p>
    <w:p>
      <w:pPr>
        <w:pStyle w:val="Heading2"/>
      </w:pPr>
      <w:r>
        <w:t xml:space="preserve">Third-Party Logos</w:t>
      </w:r>
    </w:p>
    <w:p>
      <w:pPr>
        <w:pStyle w:val="ListParagraph"/>
        <w:numPr>
          <w:ilvl w:val="0"/>
          <w:numId w:val="7"/>
        </w:numPr>
        <w:spacing w:after="60"/>
      </w:pPr>
      <w:r>
        <w:rPr>
          <w:rFonts w:ascii="Open Sans" w:cs="Open Sans" w:eastAsia="Open Sans" w:hAnsi="Open Sans"/>
          <w:b/>
          <w:bCs/>
          <w:color w:val="1A1A2E"/>
          <w:sz w:val="22"/>
          <w:szCs w:val="22"/>
        </w:rPr>
        <w:t xml:space="preserve">Single logo: </w:t>
      </w:r>
      <w:r>
        <w:rPr>
          <w:rFonts w:ascii="Open Sans" w:cs="Open Sans" w:eastAsia="Open Sans" w:hAnsi="Open Sans"/>
          <w:color w:val="59595B"/>
          <w:sz w:val="22"/>
          <w:szCs w:val="22"/>
        </w:rPr>
        <w:t xml:space="preserve">May be displayed in full color</w:t>
      </w:r>
    </w:p>
    <w:p>
      <w:pPr>
        <w:pStyle w:val="ListParagraph"/>
        <w:numPr>
          <w:ilvl w:val="0"/>
          <w:numId w:val="7"/>
        </w:numPr>
        <w:spacing w:after="60"/>
      </w:pPr>
      <w:r>
        <w:rPr>
          <w:rFonts w:ascii="Open Sans" w:cs="Open Sans" w:eastAsia="Open Sans" w:hAnsi="Open Sans"/>
          <w:b/>
          <w:bCs/>
          <w:color w:val="1A1A2E"/>
          <w:sz w:val="22"/>
          <w:szCs w:val="22"/>
        </w:rPr>
        <w:t xml:space="preserve">Multiple logos together: </w:t>
      </w:r>
      <w:r>
        <w:rPr>
          <w:rFonts w:ascii="Open Sans" w:cs="Open Sans" w:eastAsia="Open Sans" w:hAnsi="Open Sans"/>
          <w:color w:val="59595B"/>
          <w:sz w:val="22"/>
          <w:szCs w:val="22"/>
        </w:rPr>
        <w:t xml:space="preserve">Convert all to greyscale for visual consistency</w:t>
      </w:r>
    </w:p>
    <w:p>
      <w:pPr>
        <w:spacing w:after="120"/>
      </w:pPr>
      <w:r>
        <w:rPr>
          <w:rFonts w:ascii="Open Sans" w:cs="Open Sans" w:eastAsia="Open Sans" w:hAnsi="Open Sans"/>
          <w:color w:val="59595B"/>
          <w:sz w:val="22"/>
          <w:szCs w:val="22"/>
        </w:rPr>
        <w:t xml:space="preserve">Use third-party logos sparingly and only when necessary to represent partnerships or integrations.</w:t>
      </w:r>
    </w:p>
    <w:p>
      <w:r>
        <w:br w:type="page"/>
      </w:r>
    </w:p>
    <w:p>
      <w:pPr>
        <w:pStyle w:val="Heading1"/>
      </w:pPr>
      <w:r>
        <w:t xml:space="preserve">6. Digital Brand Applications</w:t>
      </w:r>
    </w:p>
    <w:p>
      <w:pPr>
        <w:pBdr>
          <w:bottom w:val="single" w:color="F67D4B" w:sz="6" w:space="1"/>
        </w:pBdr>
        <w:spacing w:after="200"/>
      </w:pPr>
    </w:p>
    <w:p>
      <w:pPr>
        <w:pStyle w:val="ListParagraph"/>
        <w:numPr>
          <w:ilvl w:val="0"/>
          <w:numId w:val="8"/>
        </w:numPr>
        <w:spacing w:after="60"/>
      </w:pPr>
      <w:r>
        <w:rPr>
          <w:rFonts w:ascii="Open Sans" w:cs="Open Sans" w:eastAsia="Open Sans" w:hAnsi="Open Sans"/>
          <w:b/>
          <w:bCs/>
          <w:color w:val="1A1A2E"/>
          <w:sz w:val="22"/>
          <w:szCs w:val="22"/>
        </w:rPr>
        <w:t xml:space="preserve">Website: </w:t>
      </w:r>
      <w:r>
        <w:rPr>
          <w:rFonts w:ascii="Open Sans" w:cs="Open Sans" w:eastAsia="Open Sans" w:hAnsi="Open Sans"/>
          <w:color w:val="59595B"/>
          <w:sz w:val="22"/>
          <w:szCs w:val="22"/>
        </w:rPr>
        <w:t xml:space="preserve">All pages follow approved typography, color palette, and image guidelines. Navigation reflects the six service pillars. CTAs use Core Orange.</w:t>
      </w:r>
    </w:p>
    <w:p>
      <w:pPr>
        <w:pStyle w:val="ListParagraph"/>
        <w:numPr>
          <w:ilvl w:val="0"/>
          <w:numId w:val="8"/>
        </w:numPr>
        <w:spacing w:after="60"/>
      </w:pPr>
      <w:r>
        <w:rPr>
          <w:rFonts w:ascii="Open Sans" w:cs="Open Sans" w:eastAsia="Open Sans" w:hAnsi="Open Sans"/>
          <w:b/>
          <w:bCs/>
          <w:color w:val="1A1A2E"/>
          <w:sz w:val="22"/>
          <w:szCs w:val="22"/>
        </w:rPr>
        <w:t xml:space="preserve">Social Media: </w:t>
      </w:r>
      <w:r>
        <w:rPr>
          <w:rFonts w:ascii="Open Sans" w:cs="Open Sans" w:eastAsia="Open Sans" w:hAnsi="Open Sans"/>
          <w:color w:val="59595B"/>
          <w:sz w:val="22"/>
          <w:szCs w:val="22"/>
        </w:rPr>
        <w:t xml:space="preserve">Consistent profile images (logo icon) and cover images across all platforms. Post graphics use the approved color palette.</w:t>
      </w:r>
    </w:p>
    <w:p>
      <w:pPr>
        <w:pStyle w:val="ListParagraph"/>
        <w:numPr>
          <w:ilvl w:val="0"/>
          <w:numId w:val="8"/>
        </w:numPr>
        <w:spacing w:after="60"/>
      </w:pPr>
      <w:r>
        <w:rPr>
          <w:rFonts w:ascii="Open Sans" w:cs="Open Sans" w:eastAsia="Open Sans" w:hAnsi="Open Sans"/>
          <w:b/>
          <w:bCs/>
          <w:color w:val="1A1A2E"/>
          <w:sz w:val="22"/>
          <w:szCs w:val="22"/>
        </w:rPr>
        <w:t xml:space="preserve">Email Marketing: </w:t>
      </w:r>
      <w:r>
        <w:rPr>
          <w:rFonts w:ascii="Open Sans" w:cs="Open Sans" w:eastAsia="Open Sans" w:hAnsi="Open Sans"/>
          <w:color w:val="59595B"/>
          <w:sz w:val="22"/>
          <w:szCs w:val="22"/>
        </w:rPr>
        <w:t xml:space="preserve">Full Technijian logo in header, Open Sans typography, Core Blue for headers, Core Orange for CTAs.</w:t>
      </w:r>
    </w:p>
    <w:p>
      <w:pPr>
        <w:pStyle w:val="ListParagraph"/>
        <w:numPr>
          <w:ilvl w:val="0"/>
          <w:numId w:val="8"/>
        </w:numPr>
        <w:spacing w:after="60"/>
      </w:pPr>
      <w:r>
        <w:rPr>
          <w:rFonts w:ascii="Open Sans" w:cs="Open Sans" w:eastAsia="Open Sans" w:hAnsi="Open Sans"/>
          <w:b/>
          <w:bCs/>
          <w:color w:val="1A1A2E"/>
          <w:sz w:val="22"/>
          <w:szCs w:val="22"/>
        </w:rPr>
        <w:t xml:space="preserve">Podcast &amp; Video: </w:t>
      </w:r>
      <w:r>
        <w:rPr>
          <w:rFonts w:ascii="Open Sans" w:cs="Open Sans" w:eastAsia="Open Sans" w:hAnsi="Open Sans"/>
          <w:color w:val="59595B"/>
          <w:sz w:val="22"/>
          <w:szCs w:val="22"/>
        </w:rPr>
        <w:t xml:space="preserve">Episode artwork follows the dark tech aesthetic. Video thumbnails use Open Sans Bold with brand colors.</w:t>
      </w:r>
    </w:p>
    <w:p>
      <w:pPr>
        <w:pStyle w:val="ListParagraph"/>
        <w:numPr>
          <w:ilvl w:val="0"/>
          <w:numId w:val="8"/>
        </w:numPr>
        <w:spacing w:after="60"/>
      </w:pPr>
      <w:r>
        <w:rPr>
          <w:rFonts w:ascii="Open Sans" w:cs="Open Sans" w:eastAsia="Open Sans" w:hAnsi="Open Sans"/>
          <w:b/>
          <w:bCs/>
          <w:color w:val="1A1A2E"/>
          <w:sz w:val="22"/>
          <w:szCs w:val="22"/>
        </w:rPr>
        <w:t xml:space="preserve">Sales Collateral: </w:t>
      </w:r>
      <w:r>
        <w:rPr>
          <w:rFonts w:ascii="Open Sans" w:cs="Open Sans" w:eastAsia="Open Sans" w:hAnsi="Open Sans"/>
          <w:color w:val="59595B"/>
          <w:sz w:val="22"/>
          <w:szCs w:val="22"/>
        </w:rPr>
        <w:t xml:space="preserve">8.5” × 11” format, left-justified text, approved colors, logo in header or footer.</w:t>
      </w:r>
    </w:p>
    <w:p>
      <w:r>
        <w:br w:type="page"/>
      </w:r>
    </w:p>
    <w:p>
      <w:pPr>
        <w:pStyle w:val="Heading1"/>
      </w:pPr>
      <w:r>
        <w:t xml:space="preserve">7. Content &amp; Messaging Framework</w:t>
      </w:r>
    </w:p>
    <w:p>
      <w:pPr>
        <w:pBdr>
          <w:bottom w:val="single" w:color="F67D4B" w:sz="6" w:space="1"/>
        </w:pBdr>
        <w:spacing w:after="200"/>
      </w:pPr>
    </w:p>
    <w:p>
      <w:pPr>
        <w:pStyle w:val="Heading2"/>
      </w:pPr>
      <w:r>
        <w:t xml:space="preserve">AI Services Messaging</w:t>
      </w:r>
    </w:p>
    <w:p>
      <w:pPr>
        <w:pStyle w:val="ListParagraph"/>
        <w:numPr>
          <w:ilvl w:val="0"/>
          <w:numId w:val="9"/>
        </w:numPr>
        <w:spacing w:after="60"/>
      </w:pPr>
      <w:r>
        <w:rPr>
          <w:rFonts w:ascii="Open Sans" w:cs="Open Sans" w:eastAsia="Open Sans" w:hAnsi="Open Sans"/>
          <w:color w:val="59595B"/>
          <w:sz w:val="22"/>
          <w:szCs w:val="22"/>
        </w:rPr>
        <w:t xml:space="preserve">Lead with the business outcome, not the technology</w:t>
      </w:r>
    </w:p>
    <w:p>
      <w:pPr>
        <w:pStyle w:val="ListParagraph"/>
        <w:numPr>
          <w:ilvl w:val="0"/>
          <w:numId w:val="9"/>
        </w:numPr>
        <w:spacing w:after="60"/>
      </w:pPr>
      <w:r>
        <w:rPr>
          <w:rFonts w:ascii="Open Sans" w:cs="Open Sans" w:eastAsia="Open Sans" w:hAnsi="Open Sans"/>
          <w:color w:val="59595B"/>
          <w:sz w:val="22"/>
          <w:szCs w:val="22"/>
        </w:rPr>
        <w:t xml:space="preserve">Be specific about what AI enables rather than making vague promises</w:t>
      </w:r>
    </w:p>
    <w:p>
      <w:pPr>
        <w:pStyle w:val="ListParagraph"/>
        <w:numPr>
          <w:ilvl w:val="0"/>
          <w:numId w:val="9"/>
        </w:numPr>
        <w:spacing w:after="60"/>
      </w:pPr>
      <w:r>
        <w:rPr>
          <w:rFonts w:ascii="Open Sans" w:cs="Open Sans" w:eastAsia="Open Sans" w:hAnsi="Open Sans"/>
          <w:color w:val="59595B"/>
          <w:sz w:val="22"/>
          <w:szCs w:val="22"/>
        </w:rPr>
        <w:t xml:space="preserve">Avoid hype language (“revolutionary,” “game-changing”) — use confident, grounded language</w:t>
      </w:r>
    </w:p>
    <w:p>
      <w:pPr>
        <w:pStyle w:val="ListParagraph"/>
        <w:numPr>
          <w:ilvl w:val="0"/>
          <w:numId w:val="9"/>
        </w:numPr>
        <w:spacing w:after="60"/>
      </w:pPr>
      <w:r>
        <w:rPr>
          <w:rFonts w:ascii="Open Sans" w:cs="Open Sans" w:eastAsia="Open Sans" w:hAnsi="Open Sans"/>
          <w:color w:val="59595B"/>
          <w:sz w:val="22"/>
          <w:szCs w:val="22"/>
        </w:rPr>
        <w:t xml:space="preserve">When referencing AI platforms, focus on how Technijian integrates and applies them for client benefit</w:t>
      </w:r>
    </w:p>
    <w:p>
      <w:pPr>
        <w:spacing w:after="80"/>
      </w:pPr>
    </w:p>
    <w:p>
      <w:pPr>
        <w:pStyle w:val="Heading2"/>
      </w:pPr>
      <w:r>
        <w:t xml:space="preserve">Compliance Messaging</w:t>
      </w:r>
    </w:p>
    <w:p>
      <w:pPr>
        <w:spacing w:after="120"/>
      </w:pPr>
      <w:r>
        <w:rPr>
          <w:rFonts w:ascii="Open Sans" w:cs="Open Sans" w:eastAsia="Open Sans" w:hAnsi="Open Sans"/>
          <w:color w:val="59595B"/>
          <w:sz w:val="22"/>
          <w:szCs w:val="22"/>
        </w:rPr>
        <w:t xml:space="preserve">Given work in regulated industries (healthcare, finance, education), compliance messaging should name specific frameworks (HIPAA, PCI, SOC 2, GDPR), be confident but not guarantee outcomes, and focus on risk reduction and peace of mind.</w:t>
      </w:r>
    </w:p>
    <w:p>
      <w:pPr>
        <w:spacing w:after="80"/>
      </w:pPr>
    </w:p>
    <w:p>
      <w:pPr>
        <w:pStyle w:val="Heading2"/>
      </w:pPr>
      <w:r>
        <w:t xml:space="preserve">SEO Content Guidelines</w:t>
      </w:r>
    </w:p>
    <w:p>
      <w:pPr>
        <w:spacing w:after="120"/>
      </w:pPr>
      <w:r>
        <w:rPr>
          <w:rFonts w:ascii="Open Sans" w:cs="Open Sans" w:eastAsia="Open Sans" w:hAnsi="Open Sans"/>
          <w:color w:val="59595B"/>
          <w:sz w:val="22"/>
          <w:szCs w:val="22"/>
        </w:rPr>
        <w:t xml:space="preserve">Blog posts and web content should balance SEO optimization with readability. Write for humans first, search engines second. Include relevant keywords naturally and ensure every piece provides genuine value.</w:t>
      </w:r>
    </w:p>
    <w:p>
      <w:r>
        <w:br w:type="page"/>
      </w:r>
    </w:p>
    <w:p>
      <w:pPr>
        <w:pStyle w:val="Heading1"/>
      </w:pPr>
      <w:r>
        <w:t xml:space="preserve">8. Brand Governance</w:t>
      </w:r>
    </w:p>
    <w:p>
      <w:pPr>
        <w:pBdr>
          <w:bottom w:val="single" w:color="F67D4B" w:sz="6" w:space="1"/>
        </w:pBdr>
        <w:spacing w:after="200"/>
      </w:pPr>
    </w:p>
    <w:p>
      <w:pPr>
        <w:pStyle w:val="Heading2"/>
      </w:pPr>
      <w:r>
        <w:t xml:space="preserve">Brand Manager Contact</w:t>
      </w:r>
    </w:p>
    <w:p>
      <w:pPr>
        <w:spacing w:after="80"/>
      </w:pPr>
    </w:p>
    <w:p>
      <w:pPr>
        <w:spacing w:after="120"/>
      </w:pPr>
      <w:r>
        <w:rPr>
          <w:rFonts w:ascii="Open Sans" w:cs="Open Sans" w:eastAsia="Open Sans" w:hAnsi="Open Sans"/>
          <w:b/>
          <w:bCs/>
          <w:color w:val="1A1A2E"/>
          <w:sz w:val="22"/>
          <w:szCs w:val="22"/>
        </w:rPr>
        <w:t xml:space="preserve">Ravi Jain</w:t>
      </w: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18 Technology Dr., Ste 141</w:t>
      </w:r>
    </w:p>
    <w:p>
      <w:pPr>
        <w:spacing w:after="120"/>
      </w:pPr>
      <w:r>
        <w:rPr>
          <w:rFonts w:ascii="Open Sans" w:cs="Open Sans" w:eastAsia="Open Sans" w:hAnsi="Open Sans"/>
          <w:color w:val="59595B"/>
          <w:sz w:val="22"/>
          <w:szCs w:val="22"/>
        </w:rPr>
        <w:t xml:space="preserve">Irvine, CA 92618</w:t>
      </w:r>
    </w:p>
    <w:p>
      <w:pPr>
        <w:spacing w:after="120"/>
      </w:pPr>
      <w:r>
        <w:rPr>
          <w:rFonts w:ascii="Open Sans" w:cs="Open Sans" w:eastAsia="Open Sans" w:hAnsi="Open Sans"/>
          <w:color w:val="59595B"/>
          <w:sz w:val="22"/>
          <w:szCs w:val="22"/>
        </w:rPr>
        <w:t xml:space="preserve">Phone: 949.379.8500</w:t>
      </w:r>
    </w:p>
    <w:p>
      <w:pPr>
        <w:spacing w:after="120"/>
      </w:pPr>
      <w:r>
        <w:rPr>
          <w:rFonts w:ascii="Open Sans" w:cs="Open Sans" w:eastAsia="Open Sans" w:hAnsi="Open Sans"/>
          <w:color w:val="59595B"/>
          <w:sz w:val="22"/>
          <w:szCs w:val="22"/>
        </w:rPr>
        <w:t xml:space="preserve">Email: rjain@technijian.com</w:t>
      </w:r>
    </w:p>
    <w:p>
      <w:pPr>
        <w:spacing w:after="80"/>
      </w:pPr>
    </w:p>
    <w:p>
      <w:pPr>
        <w:pStyle w:val="Heading2"/>
      </w:pPr>
      <w:r>
        <w:t xml:space="preserve">Brand Asset Access</w:t>
      </w:r>
    </w:p>
    <w:p>
      <w:pPr>
        <w:spacing w:after="120"/>
      </w:pPr>
      <w:r>
        <w:rPr>
          <w:rFonts w:ascii="Open Sans" w:cs="Open Sans" w:eastAsia="Open Sans" w:hAnsi="Open Sans"/>
          <w:color w:val="59595B"/>
          <w:sz w:val="22"/>
          <w:szCs w:val="22"/>
        </w:rPr>
        <w:t xml:space="preserve">Contact the Brand Manager for approved logos, icon library, presentation templates, social media templates, email templates, device mockups, and the complete brand asset library.</w:t>
      </w:r>
    </w:p>
    <w:p>
      <w:pPr>
        <w:spacing w:after="80"/>
      </w:pPr>
    </w:p>
    <w:p>
      <w:pPr>
        <w:spacing w:after="120"/>
      </w:pPr>
      <w:r>
        <w:rPr>
          <w:rFonts w:ascii="Open Sans" w:cs="Open Sans" w:eastAsia="Open Sans" w:hAnsi="Open Sans"/>
          <w:color w:val="59595B"/>
          <w:sz w:val="22"/>
          <w:szCs w:val="22"/>
        </w:rPr>
        <w:t xml:space="preserve">Any marketing materials, partnerships, or public communications representing the Technijian brand should be reviewed by the Brand Manager before distribution.</w:t>
      </w:r>
    </w:p>
    <w:p>
      <w:pPr>
        <w:spacing w:after="80"/>
      </w:pPr>
    </w:p>
    <w:p>
      <w:pPr>
        <w:spacing w:after="80"/>
      </w:pPr>
    </w:p>
    <w:p>
      <w:pPr>
        <w:jc w:val="center"/>
      </w:pPr>
      <w:r>
        <w:rPr>
          <w:rFonts w:ascii="Open Sans" w:cs="Open Sans" w:eastAsia="Open Sans" w:hAnsi="Open Sans"/>
          <w:i/>
          <w:iCs/>
          <w:color w:val="59595B"/>
          <w:sz w:val="20"/>
          <w:szCs w:val="20"/>
        </w:rPr>
        <w:t xml:space="preserve">This Brand Guide is a living document. Last updated: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Open Sans" w:cs="Open Sans" w:eastAsia="Open Sans" w:hAnsi="Open Sans"/>
        <w:color w:val="006DB6"/>
        <w:sz w:val="18"/>
        <w:szCs w:val="18"/>
      </w:rPr>
      <w:t xml:space="preserve">technijian.com</w:t>
    </w:r>
    <w:r>
      <w:rPr>
        <w:sz w:val="18"/>
        <w:szCs w:val="18"/>
      </w:rPr>
      <w:t xml:space="preserve">	</w:t>
    </w:r>
    <w:r>
      <w:rPr>
        <w:rFonts w:ascii="Open Sans" w:cs="Open Sans" w:eastAsia="Open Sans" w:hAnsi="Open Sans"/>
        <w:color w:val="59595B"/>
        <w:sz w:val="18"/>
        <w:szCs w:val="18"/>
      </w:rPr>
      <w:t xml:space="preserve">Page </w:t>
    </w:r>
    <w:r>
      <w:rPr>
        <w:rFonts w:ascii="Open Sans" w:cs="Open Sans" w:eastAsia="Open Sans" w:hAnsi="Open Sans"/>
        <w:color w:val="5959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Open Sans" w:cs="Open Sans" w:eastAsia="Open Sans" w:hAnsi="Open Sans"/>
        <w:b/>
        <w:bCs/>
        <w:color w:val="006DB6"/>
        <w:sz w:val="18"/>
        <w:szCs w:val="18"/>
      </w:rPr>
      <w:t xml:space="preserve">TECHNIJIAN</w:t>
    </w:r>
    <w:r>
      <w:rPr>
        <w:rFonts w:ascii="Open Sans" w:cs="Open Sans" w:eastAsia="Open Sans" w:hAnsi="Open Sans"/>
        <w:color w:val="59595B"/>
        <w:sz w:val="18"/>
        <w:szCs w:val="18"/>
      </w:rPr>
      <w:t xml:space="preserve">  |  Brand Guide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40"/>
      <w:outlineLvl w:val="1"/>
    </w:pPr>
    <w:rPr>
      <w:rFonts w:ascii="Open Sans" w:cs="Open Sans" w:eastAsia="Open Sans" w:hAnsi="Open Sans"/>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2026-03-03T20:13:18.210Z</dcterms:created>
  <dcterms:modified xsi:type="dcterms:W3CDTF">2026-03-03T20:13:18.211Z</dcterms:modified>
</cp:coreProperties>
</file>

<file path=docProps/custom.xml><?xml version="1.0" encoding="utf-8"?>
<Properties xmlns="http://schemas.openxmlformats.org/officeDocument/2006/custom-properties" xmlns:vt="http://schemas.openxmlformats.org/officeDocument/2006/docPropsVTypes"/>
</file>