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200"/>
      </w:tblGrid>
      <w:tr>
        <w:tc>
          <w:tcPr>
            <w:tcW w:type="dxa" w:w="10200"/>
            <w:shd w:fill="1A1A2E" w:val="clear"/>
            <w:tcMar>
              <w:top w:w="300" w:type="dxa"/>
              <w:bottom w:w="300" w:type="dxa"/>
              <w:start w:w="300" w:type="dxa"/>
              <w:end w:w="300" w:type="dxa"/>
            </w:tcMar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Open Sans" w:hAnsi="Open Sans"/>
                <w:b/>
                <w:color w:val="1EAAC8"/>
                <w:sz w:val="18"/>
              </w:rPr>
              <w:br/>
              <w:t>ENTERPRISE AI PLATFORM</w:t>
              <w:br/>
            </w:r>
          </w:p>
          <w:p>
            <w:r>
              <w:rPr>
                <w:rFonts w:ascii="Open Sans" w:hAnsi="Open Sans"/>
                <w:b/>
                <w:color w:val="FFFFFF"/>
                <w:sz w:val="60"/>
              </w:rPr>
              <w:t xml:space="preserve">Technijian </w:t>
            </w:r>
            <w:r>
              <w:rPr>
                <w:rFonts w:ascii="Open Sans" w:hAnsi="Open Sans"/>
                <w:b/>
                <w:color w:val="F67D4B"/>
                <w:sz w:val="60"/>
              </w:rPr>
              <w:t>Chat.AI</w:t>
            </w:r>
          </w:p>
          <w:p>
            <w:r>
              <w:rPr>
                <w:rFonts w:ascii="Open Sans" w:hAnsi="Open Sans"/>
                <w:color w:val="B0B0B8"/>
                <w:sz w:val="21"/>
              </w:rPr>
              <w:t>Secure, multi-model AI with collective intelligence, workflow automation, and enterprise governance.</w:t>
            </w:r>
          </w:p>
        </w:tc>
      </w:tr>
    </w:tbl>
    <w:p/>
    <w:p>
      <w:r>
        <w:rPr>
          <w:rFonts w:ascii="Open Sans" w:hAnsi="Open Sans"/>
          <w:b/>
          <w:color w:val="1A1A2E"/>
          <w:sz w:val="36"/>
        </w:rPr>
        <w:t xml:space="preserve">The Challenge with </w:t>
      </w:r>
      <w:r>
        <w:rPr>
          <w:rFonts w:ascii="Open Sans" w:hAnsi="Open Sans"/>
          <w:b/>
          <w:color w:val="F67D4B"/>
          <w:sz w:val="36"/>
        </w:rPr>
        <w:t>Enterprise AI Today</w:t>
      </w:r>
    </w:p>
    <w:p>
      <w:r>
        <w:rPr>
          <w:rFonts w:ascii="Open Sans" w:hAnsi="Open Sans"/>
          <w:b/>
          <w:color w:val="006DB6"/>
          <w:sz w:val="23"/>
        </w:rPr>
        <w:t>Single-Vendor Lock-In</w:t>
      </w:r>
    </w:p>
    <w:p>
      <w:r>
        <w:rPr>
          <w:rFonts w:ascii="Open Sans" w:hAnsi="Open Sans"/>
          <w:color w:val="59595B"/>
          <w:sz w:val="19"/>
        </w:rPr>
        <w:t>Tying your organization to one AI provider means you inherit their outages, pricing changes, and limitations.</w:t>
      </w:r>
    </w:p>
    <w:p>
      <w:r>
        <w:rPr>
          <w:rFonts w:ascii="Open Sans" w:hAnsi="Open Sans"/>
          <w:b/>
          <w:color w:val="F67D4B"/>
          <w:sz w:val="20"/>
        </w:rPr>
        <w:t xml:space="preserve">→ </w:t>
      </w:r>
      <w:r>
        <w:rPr>
          <w:rFonts w:ascii="Open Sans" w:hAnsi="Open Sans"/>
          <w:b/>
          <w:color w:val="1A1A2E"/>
          <w:sz w:val="19"/>
        </w:rPr>
        <w:t>Chat.AI orchestrates OpenAI, Anthropic, Google, and Azure simultaneously with automatic failover.</w:t>
      </w:r>
    </w:p>
    <w:p>
      <w:r>
        <w:rPr>
          <w:rFonts w:ascii="Open Sans" w:hAnsi="Open Sans"/>
          <w:b/>
          <w:color w:val="F67D4B"/>
          <w:sz w:val="23"/>
        </w:rPr>
        <w:t>No Cost Visibility</w:t>
      </w:r>
    </w:p>
    <w:p>
      <w:r>
        <w:rPr>
          <w:rFonts w:ascii="Open Sans" w:hAnsi="Open Sans"/>
          <w:color w:val="59595B"/>
          <w:sz w:val="19"/>
        </w:rPr>
        <w:t>ChatGPT Team and Copilot charge flat per-seat fees with no transparency into actual token consumption.</w:t>
      </w:r>
    </w:p>
    <w:p>
      <w:r>
        <w:rPr>
          <w:rFonts w:ascii="Open Sans" w:hAnsi="Open Sans"/>
          <w:b/>
          <w:color w:val="F67D4B"/>
          <w:sz w:val="20"/>
        </w:rPr>
        <w:t xml:space="preserve">→ </w:t>
      </w:r>
      <w:r>
        <w:rPr>
          <w:rFonts w:ascii="Open Sans" w:hAnsi="Open Sans"/>
          <w:b/>
          <w:color w:val="1A1A2E"/>
          <w:sz w:val="19"/>
        </w:rPr>
        <w:t>Per-call cost attribution, prepaid budgets, and overage alerts give you complete financial control.</w:t>
      </w:r>
    </w:p>
    <w:p>
      <w:r>
        <w:rPr>
          <w:rFonts w:ascii="Open Sans" w:hAnsi="Open Sans"/>
          <w:b/>
          <w:color w:val="1EAAC8"/>
          <w:sz w:val="23"/>
        </w:rPr>
        <w:t>Hallucinations &amp; Unreliable Output</w:t>
      </w:r>
    </w:p>
    <w:p>
      <w:r>
        <w:rPr>
          <w:rFonts w:ascii="Open Sans" w:hAnsi="Open Sans"/>
          <w:color w:val="59595B"/>
          <w:sz w:val="19"/>
        </w:rPr>
        <w:t>Single-model responses have no checks. Users can't tell when the AI is confidently wrong.</w:t>
      </w:r>
    </w:p>
    <w:p>
      <w:r>
        <w:rPr>
          <w:rFonts w:ascii="Open Sans" w:hAnsi="Open Sans"/>
          <w:b/>
          <w:color w:val="F67D4B"/>
          <w:sz w:val="20"/>
        </w:rPr>
        <w:t xml:space="preserve">→ </w:t>
      </w:r>
      <w:r>
        <w:rPr>
          <w:rFonts w:ascii="Open Sans" w:hAnsi="Open Sans"/>
          <w:b/>
          <w:color w:val="1A1A2E"/>
          <w:sz w:val="19"/>
        </w:rPr>
        <w:t>AI Council deliberation across 3+ models reduces hallucinations by over 30%.</w:t>
      </w:r>
    </w:p>
    <w:p>
      <w:r>
        <w:rPr>
          <w:rFonts w:ascii="Open Sans" w:hAnsi="Open Sans"/>
          <w:b/>
          <w:color w:val="1A1A2E"/>
          <w:sz w:val="23"/>
        </w:rPr>
        <w:t>Security &amp; Compliance Gaps</w:t>
      </w:r>
    </w:p>
    <w:p>
      <w:r>
        <w:rPr>
          <w:rFonts w:ascii="Open Sans" w:hAnsi="Open Sans"/>
          <w:color w:val="59595B"/>
          <w:sz w:val="19"/>
        </w:rPr>
        <w:t>Consumer AI tools lack tenant isolation, audit trails, and controls for regulated industries.</w:t>
      </w:r>
    </w:p>
    <w:p>
      <w:r>
        <w:rPr>
          <w:rFonts w:ascii="Open Sans" w:hAnsi="Open Sans"/>
          <w:b/>
          <w:color w:val="F67D4B"/>
          <w:sz w:val="20"/>
        </w:rPr>
        <w:t xml:space="preserve">→ </w:t>
      </w:r>
      <w:r>
        <w:rPr>
          <w:rFonts w:ascii="Open Sans" w:hAnsi="Open Sans"/>
          <w:b/>
          <w:color w:val="1A1A2E"/>
          <w:sz w:val="19"/>
        </w:rPr>
        <w:t>Row-level security, stored-procedure-only data access, full audit logging, HIPAA/SOC 2 architecture.</w:t>
      </w:r>
    </w:p>
    <w:p>
      <w:r>
        <w:rPr>
          <w:rFonts w:ascii="Open Sans" w:hAnsi="Open Sans"/>
          <w:b/>
          <w:color w:val="1A1A2E"/>
          <w:sz w:val="36"/>
        </w:rPr>
        <w:t xml:space="preserve">Platform </w:t>
      </w:r>
      <w:r>
        <w:rPr>
          <w:rFonts w:ascii="Open Sans" w:hAnsi="Open Sans"/>
          <w:b/>
          <w:color w:val="F67D4B"/>
          <w:sz w:val="36"/>
        </w:rPr>
        <w:t>Capabilities</w:t>
      </w:r>
    </w:p>
    <w:p>
      <w:r>
        <w:rPr>
          <w:rFonts w:ascii="Open Sans" w:hAnsi="Open Sans"/>
          <w:b/>
          <w:color w:val="006DB6"/>
          <w:sz w:val="23"/>
        </w:rPr>
        <w:t>Multi-Model Chat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GPT-4o, Claude Sonnet, Gemini Pro — switch mid-chat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Streaming responses, file attachments &amp; analysis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Thread sharing with permissions, export &amp; history</w:t>
      </w:r>
    </w:p>
    <w:p/>
    <w:p>
      <w:r>
        <w:rPr>
          <w:rFonts w:ascii="Open Sans" w:hAnsi="Open Sans"/>
          <w:b/>
          <w:color w:val="F67D4B"/>
          <w:sz w:val="23"/>
        </w:rPr>
        <w:t>Custom AI Assistants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Purpose-built assistants with custom instructions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Per-assistant model selection and connectors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Shared or private assistants, MyGPTs</w:t>
      </w:r>
    </w:p>
    <w:p/>
    <w:p>
      <w:r>
        <w:rPr>
          <w:rFonts w:ascii="Open Sans" w:hAnsi="Open Sans"/>
          <w:b/>
          <w:color w:val="1EAAC8"/>
          <w:sz w:val="23"/>
        </w:rPr>
        <w:t>Projects &amp; Workspaces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Organize chats, files, instructions into containers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Project-level system prompts inherited across chats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Granular view/edit sharing permissions</w:t>
      </w:r>
    </w:p>
    <w:p/>
    <w:p>
      <w:r>
        <w:rPr>
          <w:rFonts w:ascii="Open Sans" w:hAnsi="Open Sans"/>
          <w:b/>
          <w:color w:val="1A1A2E"/>
          <w:sz w:val="23"/>
        </w:rPr>
        <w:t>Workflow Automation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Trigger N8N workflows from chat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Multi-step business process execution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Run tracking, retry, cost attribution</w:t>
      </w:r>
    </w:p>
    <w:p/>
    <w:p>
      <w:r>
        <w:rPr>
          <w:rFonts w:ascii="Open Sans" w:hAnsi="Open Sans"/>
          <w:b/>
          <w:color w:val="8BA82E"/>
          <w:sz w:val="23"/>
        </w:rPr>
        <w:t>Knowledge &amp; Memory (RAG)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Upload docs, vectorize for persistent org memory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Weaviate, Pinecone, or Chroma per tenant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Semantic search and RAG</w:t>
      </w:r>
    </w:p>
    <w:p/>
    <w:p>
      <w:r>
        <w:rPr>
          <w:rFonts w:ascii="Open Sans" w:hAnsi="Open Sans"/>
          <w:b/>
          <w:color w:val="006DB6"/>
          <w:sz w:val="23"/>
        </w:rPr>
        <w:t>Billing &amp; Cost Controls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Prepaid balance with token-level metering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Budget alerts at 75%/100%, auto overage</w:t>
      </w:r>
    </w:p>
    <w:p>
      <w:pPr>
        <w:pStyle w:val="ListBullet"/>
      </w:pPr>
      <w:r>
        <w:rPr>
          <w:rFonts w:ascii="Open Sans" w:hAnsi="Open Sans"/>
          <w:color w:val="59595B"/>
          <w:sz w:val="19"/>
        </w:rPr>
        <w:t>Per-user/conversation/model cost attribution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200"/>
      </w:tblGrid>
      <w:tr>
        <w:tc>
          <w:tcPr>
            <w:tcW w:type="dxa" w:w="10200"/>
            <w:shd w:fill="006DB6" w:val="clear"/>
            <w:tcMar>
              <w:top w:w="300" w:type="dxa"/>
              <w:bottom w:w="300" w:type="dxa"/>
              <w:start w:w="200" w:type="dxa"/>
              <w:end w:w="200" w:type="dxa"/>
            </w:tcMar>
          </w:tcPr>
          <w:p>
            <w:pPr>
              <w:jc w:val="center"/>
            </w:pPr>
            <w:r/>
            <w:r>
              <w:rPr>
                <w:rFonts w:ascii="Open Sans" w:hAnsi="Open Sans"/>
                <w:b/>
                <w:color w:val="FFFFFF"/>
                <w:sz w:val="40"/>
              </w:rPr>
              <w:t>Ready to Transform How Your Team Uses AI?</w:t>
            </w:r>
          </w:p>
          <w:p>
            <w:pPr>
              <w:jc w:val="center"/>
            </w:pPr>
            <w:r>
              <w:rPr>
                <w:rFonts w:ascii="Open Sans" w:hAnsi="Open Sans"/>
                <w:b/>
                <w:color w:val="FFFFFF"/>
                <w:sz w:val="26"/>
              </w:rPr>
              <w:t>RJain@technijian.com</w:t>
            </w:r>
            <w:r>
              <w:rPr>
                <w:rFonts w:ascii="Open Sans" w:hAnsi="Open Sans"/>
                <w:color w:val="CCDDEE"/>
                <w:sz w:val="26"/>
              </w:rPr>
              <w:t xml:space="preserve">  •  </w:t>
            </w:r>
            <w:r>
              <w:rPr>
                <w:rFonts w:ascii="Open Sans" w:hAnsi="Open Sans"/>
                <w:b/>
                <w:color w:val="FFFFFF"/>
                <w:sz w:val="26"/>
              </w:rPr>
              <w:t>949.379.8500</w:t>
            </w:r>
          </w:p>
        </w:tc>
      </w:tr>
    </w:tbl>
    <w:p>
      <w:pPr>
        <w:jc w:val="center"/>
      </w:pPr>
      <w:r>
        <w:rPr>
          <w:rFonts w:ascii="Open Sans" w:hAnsi="Open Sans"/>
          <w:color w:val="59595B"/>
          <w:sz w:val="16"/>
        </w:rPr>
        <w:t>© 2026 Technijian  •  18 Technology Dr. Ste 141, Irvine CA 92618  •  technijian.com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