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 w:hRule="exact"/>
        </w:trPr>
        <w:tc>
          <w:tcPr>
            <w:tcW w:type="dxa" w:w="9360"/>
            <w:tcBorders>
              <w:top w:val="none" w:color="FFFFFF" w:sz="0"/>
              <w:left w:val="none" w:color="FFFFFF" w:sz="0"/>
              <w:bottom w:val="none" w:color="FFFFFF" w:sz="0"/>
              <w:right w:val="none" w:color="FFFFFF" w:sz="0"/>
            </w:tcBorders>
            <w:shd w:fill="006DB6" w:val="clear"/>
          </w:tcPr>
          <w:p>
            <w:r>
              <w:t xml:space="preserve"/>
            </w:r>
          </w:p>
        </w:tc>
      </w:tr>
    </w:tbl>
    <w:p>
      <w:pPr>
        <w:keepNext/>
        <w:spacing w:after="0" w:before="780"/>
      </w:pPr>
      <w:r>
        <w:t xml:space="preserve"/>
      </w:r>
    </w:p>
    <w:p>
      <w:pPr>
        <w:jc w:val="center"/>
      </w:pPr>
      <w:r>
        <w:drawing>
          <wp:inline distT="0" distB="0" distL="0" distR="0">
            <wp:extent cx="3143250" cy="657225"/>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657225"/>
                    </a:xfrm>
                    <a:prstGeom prst="rect">
                      <a:avLst/>
                    </a:prstGeom>
                  </pic:spPr>
                </pic:pic>
              </a:graphicData>
            </a:graphic>
          </wp:inline>
        </w:drawing>
      </w:r>
    </w:p>
    <w:p>
      <w:pPr>
        <w:keepNext/>
        <w:spacing w:after="0" w:before="320"/>
      </w:pPr>
      <w:r>
        <w:t xml:space="preserve"/>
      </w:r>
    </w:p>
    <w:p>
      <w:pPr>
        <w:jc w:val="center"/>
      </w:pPr>
      <w:r>
        <w:rPr>
          <w:b/>
          <w:bCs/>
          <w:color w:val="F67D4B"/>
          <w:sz w:val="32"/>
          <w:szCs w:val="32"/>
        </w:rPr>
        <w:t xml:space="preserve">━━━━━━━━━━</w:t>
      </w:r>
    </w:p>
    <w:p>
      <w:pPr>
        <w:keepNext/>
        <w:spacing w:after="0" w:before="210"/>
      </w:pPr>
      <w:r>
        <w:t xml:space="preserve"/>
      </w:r>
    </w:p>
    <w:p>
      <w:pPr>
        <w:spacing w:after="200" w:before="0"/>
        <w:jc w:val="center"/>
      </w:pPr>
      <w:r>
        <w:rPr>
          <w:rFonts w:ascii="Open Sans" w:cs="Open Sans" w:eastAsia="Open Sans" w:hAnsi="Open Sans"/>
          <w:b/>
          <w:bCs/>
          <w:i w:val="false"/>
          <w:iCs w:val="false"/>
          <w:color w:val="F67D4B"/>
          <w:sz w:val="26"/>
          <w:szCs w:val="26"/>
        </w:rPr>
        <w:t xml:space="preserve">AI GROWTH &amp; IT READINESS BLUEPRINT</w:t>
      </w:r>
    </w:p>
    <w:p>
      <w:pPr>
        <w:keepNext/>
        <w:spacing w:after="0" w:before="140"/>
      </w:pPr>
      <w:r>
        <w:t xml:space="preserve"/>
      </w:r>
    </w:p>
    <w:p>
      <w:pPr>
        <w:spacing w:after="150" w:before="0"/>
        <w:jc w:val="center"/>
      </w:pPr>
      <w:r>
        <w:rPr>
          <w:rFonts w:ascii="Open Sans" w:cs="Open Sans" w:eastAsia="Open Sans" w:hAnsi="Open Sans"/>
          <w:b/>
          <w:bCs/>
          <w:i w:val="false"/>
          <w:iCs w:val="false"/>
          <w:color w:val="1A1A2E"/>
          <w:sz w:val="52"/>
          <w:szCs w:val="52"/>
        </w:rPr>
        <w:t xml:space="preserve">Shoes That Fit</w:t>
      </w:r>
    </w:p>
    <w:p>
      <w:pPr>
        <w:jc w:val="center"/>
      </w:pPr>
      <w:r>
        <w:rPr>
          <w:rFonts w:ascii="Open Sans" w:cs="Open Sans" w:eastAsia="Open Sans" w:hAnsi="Open Sans"/>
          <w:i/>
          <w:iCs/>
          <w:color w:val="59595B"/>
          <w:sz w:val="22"/>
          <w:szCs w:val="22"/>
        </w:rPr>
        <w:t xml:space="preserve">How to protect a record gift and a year of scaling — then grow the partner engine, win more grants, and reach more children — built on verified facts, with the questions that complete the picture</w:t>
      </w:r>
    </w:p>
    <w:p>
      <w:pPr>
        <w:keepNext/>
        <w:spacing w:after="0" w:before="820"/>
      </w:pPr>
      <w:r>
        <w:t xml:space="preserve"/>
      </w:r>
    </w:p>
    <w:p>
      <w:pPr>
        <w:spacing w:after="60" w:before="0"/>
        <w:jc w:val="center"/>
      </w:pPr>
      <w:r>
        <w:rPr>
          <w:rFonts w:ascii="Open Sans" w:cs="Open Sans" w:eastAsia="Open Sans" w:hAnsi="Open Sans"/>
          <w:b w:val="false"/>
          <w:bCs w:val="false"/>
          <w:i w:val="false"/>
          <w:iCs w:val="false"/>
          <w:color w:val="59595B"/>
          <w:sz w:val="18"/>
          <w:szCs w:val="18"/>
        </w:rPr>
        <w:t xml:space="preserve">PREPARED FOR</w:t>
      </w:r>
    </w:p>
    <w:p>
      <w:pPr>
        <w:spacing w:after="150" w:before="0"/>
        <w:jc w:val="center"/>
      </w:pPr>
      <w:r>
        <w:rPr>
          <w:rFonts w:ascii="Open Sans" w:cs="Open Sans" w:eastAsia="Open Sans" w:hAnsi="Open Sans"/>
          <w:b/>
          <w:bCs/>
          <w:i w:val="false"/>
          <w:iCs w:val="false"/>
          <w:color w:val="1A1A2E"/>
          <w:sz w:val="22"/>
          <w:szCs w:val="22"/>
        </w:rPr>
        <w:t xml:space="preserve">Amy Fass, CEO &amp; Executive Director, and the Shoes That Fit Leadership Team</w:t>
      </w:r>
    </w:p>
    <w:p>
      <w:pPr>
        <w:spacing w:after="60" w:before="0"/>
        <w:jc w:val="center"/>
      </w:pPr>
      <w:r>
        <w:rPr>
          <w:rFonts w:ascii="Open Sans" w:cs="Open Sans" w:eastAsia="Open Sans" w:hAnsi="Open Sans"/>
          <w:b w:val="false"/>
          <w:bCs w:val="false"/>
          <w:i w:val="false"/>
          <w:iCs w:val="false"/>
          <w:color w:val="59595B"/>
          <w:sz w:val="18"/>
          <w:szCs w:val="18"/>
        </w:rPr>
        <w:t xml:space="preserve">PREPARED BY</w:t>
      </w:r>
    </w:p>
    <w:p>
      <w:pPr>
        <w:spacing w:after="150" w:before="0"/>
        <w:jc w:val="center"/>
      </w:pPr>
      <w:r>
        <w:rPr>
          <w:rFonts w:ascii="Open Sans" w:cs="Open Sans" w:eastAsia="Open Sans" w:hAnsi="Open Sans"/>
          <w:b/>
          <w:bCs/>
          <w:i w:val="false"/>
          <w:iCs w:val="false"/>
          <w:color w:val="006DB6"/>
          <w:sz w:val="22"/>
          <w:szCs w:val="22"/>
        </w:rPr>
        <w:t xml:space="preserve">Technijian — technology as a solution</w:t>
      </w:r>
    </w:p>
    <w:p>
      <w:pPr>
        <w:spacing w:after="60" w:before="0"/>
        <w:jc w:val="center"/>
      </w:pPr>
      <w:r>
        <w:rPr>
          <w:rFonts w:ascii="Open Sans" w:cs="Open Sans" w:eastAsia="Open Sans" w:hAnsi="Open Sans"/>
          <w:b w:val="false"/>
          <w:bCs w:val="false"/>
          <w:i w:val="false"/>
          <w:iCs w:val="false"/>
          <w:color w:val="59595B"/>
          <w:sz w:val="18"/>
          <w:szCs w:val="18"/>
        </w:rPr>
        <w:t xml:space="preserve">DATE</w:t>
      </w:r>
    </w:p>
    <w:p>
      <w:pPr>
        <w:spacing w:after="360" w:before="0"/>
        <w:jc w:val="center"/>
      </w:pPr>
      <w:r>
        <w:rPr>
          <w:rFonts w:ascii="Open Sans" w:cs="Open Sans" w:eastAsia="Open Sans" w:hAnsi="Open Sans"/>
          <w:b/>
          <w:bCs/>
          <w:i w:val="false"/>
          <w:iCs w:val="false"/>
          <w:color w:val="1A1A2E"/>
          <w:sz w:val="22"/>
          <w:szCs w:val="22"/>
        </w:rPr>
        <w:t xml:space="preserve">June 23, 2026</w:t>
      </w:r>
    </w:p>
    <w:p>
      <w:pPr>
        <w:spacing w:after="160" w:before="0"/>
        <w:jc w:val="center"/>
      </w:pPr>
      <w:r>
        <w:rPr>
          <w:rFonts w:ascii="Open Sans" w:cs="Open Sans" w:eastAsia="Open Sans" w:hAnsi="Open Sans"/>
          <w:b/>
          <w:bCs/>
          <w:i w:val="false"/>
          <w:iCs w:val="false"/>
          <w:color w:val="59595B"/>
          <w:sz w:val="16"/>
          <w:szCs w:val="16"/>
        </w:rPr>
        <w:t xml:space="preserve">CONFIDENTIAL · PREPARED EXCLUSIVELY FOR SHOES THAT FIT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 w:hRule="exact"/>
        </w:trPr>
        <w:tc>
          <w:tcPr>
            <w:tcW w:type="dxa" w:w="9360"/>
            <w:tcBorders>
              <w:top w:val="none" w:color="FFFFFF" w:sz="0"/>
              <w:left w:val="none" w:color="FFFFFF" w:sz="0"/>
              <w:bottom w:val="none" w:color="FFFFFF" w:sz="0"/>
              <w:right w:val="none" w:color="FFFFFF" w:sz="0"/>
            </w:tcBorders>
            <w:shd w:fill="F67D4B" w:val="clear"/>
          </w:tcPr>
          <w:p>
            <w:r>
              <w:t xml:space="preserve"/>
            </w:r>
          </w:p>
        </w:tc>
      </w:tr>
    </w:tbl>
    <w:p>
      <w:pPr>
        <w:pStyle w:val="Heading1"/>
        <w:keepNext/>
        <w:pageBreakBefore/>
        <w:spacing w:after="120" w:before="0" w:line="240"/>
      </w:pPr>
      <w:r>
        <w:rPr>
          <w:rFonts w:ascii="Open Sans" w:cs="Open Sans" w:eastAsia="Open Sans" w:hAnsi="Open Sans"/>
          <w:color w:val="FFFFFF"/>
          <w:sz w:val="2"/>
          <w:szCs w:val="2"/>
        </w:rPr>
        <w:t xml:space="preserve">Contents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Contents</w:t>
            </w:r>
          </w:p>
        </w:tc>
      </w:tr>
    </w:tbl>
    <w:p>
      <w:pPr>
        <w:keepNext/>
        <w:spacing w:after="0" w:before="120"/>
      </w:pPr>
      <w:r>
        <w:t xml:space="preserve"/>
      </w:r>
    </w:p>
    <w:p>
      <w:pPr>
        <w:keepNext/>
        <w:spacing w:after="0" w:before="40"/>
      </w:pPr>
      <w:r>
        <w:t xml:space="preserve"/>
      </w:r>
    </w:p>
    <w:p>
      <w:pPr>
        <w:spacing w:after="60" w:before="0"/>
      </w:pPr>
      <w:r>
        <w:rPr>
          <w:rFonts w:ascii="Open Sans" w:cs="Open Sans" w:eastAsia="Open Sans" w:hAnsi="Open Sans"/>
          <w:i/>
          <w:iCs/>
          <w:color w:val="59595B"/>
          <w:sz w:val="18"/>
          <w:szCs w:val="18"/>
        </w:rPr>
        <w:t xml:space="preserve">Sixteen sections across the full document. The orange figures are section numbers; the figures on the right are the pages each section spans.</w:t>
      </w:r>
    </w:p>
    <w:p>
      <w:pPr>
        <w:pBdr>
          <w:bottom w:val="single" w:color="E9ECEF" w:sz="6"/>
        </w:pBdr>
        <w:tabs>
          <w:tab w:val="left" w:pos="600"/>
          <w:tab w:val="right" w:pos="9360"/>
        </w:tabs>
        <w:spacing w:after="40" w:before="80"/>
      </w:pPr>
      <w:r>
        <w:rPr>
          <w:rFonts w:ascii="Open Sans" w:cs="Open Sans" w:eastAsia="Open Sans" w:hAnsi="Open Sans"/>
          <w:b/>
          <w:bCs/>
          <w:color w:val="59595B"/>
          <w:sz w:val="16"/>
          <w:szCs w:val="16"/>
        </w:rPr>
        <w:t xml:space="preserve">#</w:t>
      </w:r>
      <w:r>
        <w:rPr>
          <w:rFonts w:ascii="Open Sans" w:cs="Open Sans" w:eastAsia="Open Sans" w:hAnsi="Open Sans"/>
          <w:b/>
          <w:bCs/>
          <w:color w:val="59595B"/>
          <w:sz w:val="16"/>
          <w:szCs w:val="16"/>
        </w:rPr>
        <w:t xml:space="preserve">	SECTION</w:t>
      </w:r>
      <w:r>
        <w:rPr>
          <w:rFonts w:ascii="Open Sans" w:cs="Open Sans" w:eastAsia="Open Sans" w:hAnsi="Open Sans"/>
          <w:b/>
          <w:bCs/>
          <w:color w:val="59595B"/>
          <w:sz w:val="16"/>
          <w:szCs w:val="16"/>
        </w:rPr>
        <w:t xml:space="preserve">	PAGES</w:t>
      </w:r>
    </w:p>
    <w:p>
      <w:pPr>
        <w:tabs>
          <w:tab w:val="left" w:pos="600"/>
          <w:tab w:val="right" w:pos="9360" w:leader="dot"/>
        </w:tabs>
        <w:spacing w:after="50" w:before="50"/>
      </w:pPr>
      <w:r>
        <w:rPr>
          <w:rFonts w:ascii="Open Sans" w:cs="Open Sans" w:eastAsia="Open Sans" w:hAnsi="Open Sans"/>
          <w:b/>
          <w:bCs/>
          <w:color w:val="F67D4B"/>
          <w:sz w:val="22"/>
          <w:szCs w:val="22"/>
        </w:rPr>
        <w:t xml:space="preserve">·</w:t>
      </w:r>
      <w:r>
        <w:rPr>
          <w:rFonts w:ascii="Open Sans" w:cs="Open Sans" w:eastAsia="Open Sans" w:hAnsi="Open Sans"/>
          <w:b w:val="false"/>
          <w:bCs w:val="false"/>
          <w:color w:val="1A1A2E"/>
          <w:sz w:val="22"/>
          <w:szCs w:val="22"/>
        </w:rPr>
        <w:t xml:space="preserve">	How to Read This Blueprint</w:t>
      </w:r>
      <w:r>
        <w:rPr>
          <w:rFonts w:ascii="Open Sans" w:cs="Open Sans" w:eastAsia="Open Sans" w:hAnsi="Open Sans"/>
          <w:color w:val="1A1A2E"/>
          <w:sz w:val="22"/>
          <w:szCs w:val="22"/>
        </w:rPr>
        <w:t xml:space="preserve">	3–4</w:t>
      </w:r>
    </w:p>
    <w:p>
      <w:pPr>
        <w:tabs>
          <w:tab w:val="left" w:pos="600"/>
          <w:tab w:val="right" w:pos="9360" w:leader="dot"/>
        </w:tabs>
        <w:spacing w:after="50" w:before="50"/>
      </w:pPr>
      <w:r>
        <w:rPr>
          <w:rFonts w:ascii="Open Sans" w:cs="Open Sans" w:eastAsia="Open Sans" w:hAnsi="Open Sans"/>
          <w:b/>
          <w:bCs/>
          <w:color w:val="F67D4B"/>
          <w:sz w:val="22"/>
          <w:szCs w:val="22"/>
        </w:rPr>
        <w:t xml:space="preserve">·</w:t>
      </w:r>
      <w:r>
        <w:rPr>
          <w:rFonts w:ascii="Open Sans" w:cs="Open Sans" w:eastAsia="Open Sans" w:hAnsi="Open Sans"/>
          <w:b w:val="false"/>
          <w:bCs w:val="false"/>
          <w:color w:val="1A1A2E"/>
          <w:sz w:val="22"/>
          <w:szCs w:val="22"/>
        </w:rPr>
        <w:t xml:space="preserve">	Executive Summary</w:t>
      </w:r>
      <w:r>
        <w:rPr>
          <w:rFonts w:ascii="Open Sans" w:cs="Open Sans" w:eastAsia="Open Sans" w:hAnsi="Open Sans"/>
          <w:color w:val="1A1A2E"/>
          <w:sz w:val="22"/>
          <w:szCs w:val="22"/>
        </w:rPr>
        <w:t xml:space="preserve">	5–6</w:t>
      </w:r>
    </w:p>
    <w:p>
      <w:pPr>
        <w:tabs>
          <w:tab w:val="left" w:pos="600"/>
          <w:tab w:val="right" w:pos="9360" w:leader="dot"/>
        </w:tabs>
        <w:spacing w:after="50" w:before="50"/>
      </w:pPr>
      <w:r>
        <w:rPr>
          <w:rFonts w:ascii="Open Sans" w:cs="Open Sans" w:eastAsia="Open Sans" w:hAnsi="Open Sans"/>
          <w:b/>
          <w:bCs/>
          <w:color w:val="F67D4B"/>
          <w:sz w:val="22"/>
          <w:szCs w:val="22"/>
        </w:rPr>
        <w:t xml:space="preserve">01</w:t>
      </w:r>
      <w:r>
        <w:rPr>
          <w:rFonts w:ascii="Open Sans" w:cs="Open Sans" w:eastAsia="Open Sans" w:hAnsi="Open Sans"/>
          <w:b w:val="false"/>
          <w:bCs w:val="false"/>
          <w:color w:val="1A1A2E"/>
          <w:sz w:val="22"/>
          <w:szCs w:val="22"/>
        </w:rPr>
        <w:t xml:space="preserve">	The Organization &amp; Mission</w:t>
      </w:r>
      <w:r>
        <w:rPr>
          <w:rFonts w:ascii="Open Sans" w:cs="Open Sans" w:eastAsia="Open Sans" w:hAnsi="Open Sans"/>
          <w:color w:val="1A1A2E"/>
          <w:sz w:val="22"/>
          <w:szCs w:val="22"/>
        </w:rPr>
        <w:t xml:space="preserve">	7–8</w:t>
      </w:r>
    </w:p>
    <w:p>
      <w:pPr>
        <w:tabs>
          <w:tab w:val="left" w:pos="600"/>
          <w:tab w:val="right" w:pos="9360" w:leader="dot"/>
        </w:tabs>
        <w:spacing w:after="50" w:before="50"/>
      </w:pPr>
      <w:r>
        <w:rPr>
          <w:rFonts w:ascii="Open Sans" w:cs="Open Sans" w:eastAsia="Open Sans" w:hAnsi="Open Sans"/>
          <w:b/>
          <w:bCs/>
          <w:color w:val="F67D4B"/>
          <w:sz w:val="22"/>
          <w:szCs w:val="22"/>
        </w:rPr>
        <w:t xml:space="preserve">02</w:t>
      </w:r>
      <w:r>
        <w:rPr>
          <w:rFonts w:ascii="Open Sans" w:cs="Open Sans" w:eastAsia="Open Sans" w:hAnsi="Open Sans"/>
          <w:b w:val="false"/>
          <w:bCs w:val="false"/>
          <w:color w:val="1A1A2E"/>
          <w:sz w:val="22"/>
          <w:szCs w:val="22"/>
        </w:rPr>
        <w:t xml:space="preserve">	How Shoes That Fit Creates &amp; Sustains Impact</w:t>
      </w:r>
      <w:r>
        <w:rPr>
          <w:rFonts w:ascii="Open Sans" w:cs="Open Sans" w:eastAsia="Open Sans" w:hAnsi="Open Sans"/>
          <w:color w:val="1A1A2E"/>
          <w:sz w:val="22"/>
          <w:szCs w:val="22"/>
        </w:rPr>
        <w:t xml:space="preserve">	9–10</w:t>
      </w:r>
    </w:p>
    <w:p>
      <w:pPr>
        <w:tabs>
          <w:tab w:val="left" w:pos="600"/>
          <w:tab w:val="right" w:pos="9360" w:leader="dot"/>
        </w:tabs>
        <w:spacing w:after="50" w:before="50"/>
      </w:pPr>
      <w:r>
        <w:rPr>
          <w:rFonts w:ascii="Open Sans" w:cs="Open Sans" w:eastAsia="Open Sans" w:hAnsi="Open Sans"/>
          <w:b/>
          <w:bCs/>
          <w:color w:val="F67D4B"/>
          <w:sz w:val="22"/>
          <w:szCs w:val="22"/>
        </w:rPr>
        <w:t xml:space="preserve">03</w:t>
      </w:r>
      <w:r>
        <w:rPr>
          <w:rFonts w:ascii="Open Sans" w:cs="Open Sans" w:eastAsia="Open Sans" w:hAnsi="Open Sans"/>
          <w:b w:val="false"/>
          <w:bCs w:val="false"/>
          <w:color w:val="1A1A2E"/>
          <w:sz w:val="22"/>
          <w:szCs w:val="22"/>
        </w:rPr>
        <w:t xml:space="preserve">	The Moment — A Record Gift and a Year of Scaling</w:t>
      </w:r>
      <w:r>
        <w:rPr>
          <w:rFonts w:ascii="Open Sans" w:cs="Open Sans" w:eastAsia="Open Sans" w:hAnsi="Open Sans"/>
          <w:color w:val="1A1A2E"/>
          <w:sz w:val="22"/>
          <w:szCs w:val="22"/>
        </w:rPr>
        <w:t xml:space="preserve">	11–12</w:t>
      </w:r>
    </w:p>
    <w:p>
      <w:pPr>
        <w:tabs>
          <w:tab w:val="left" w:pos="600"/>
          <w:tab w:val="right" w:pos="9360" w:leader="dot"/>
        </w:tabs>
        <w:spacing w:after="50" w:before="50"/>
      </w:pPr>
      <w:r>
        <w:rPr>
          <w:rFonts w:ascii="Open Sans" w:cs="Open Sans" w:eastAsia="Open Sans" w:hAnsi="Open Sans"/>
          <w:b/>
          <w:bCs/>
          <w:color w:val="F67D4B"/>
          <w:sz w:val="22"/>
          <w:szCs w:val="22"/>
        </w:rPr>
        <w:t xml:space="preserve">04</w:t>
      </w:r>
      <w:r>
        <w:rPr>
          <w:rFonts w:ascii="Open Sans" w:cs="Open Sans" w:eastAsia="Open Sans" w:hAnsi="Open Sans"/>
          <w:b w:val="false"/>
          <w:bCs w:val="false"/>
          <w:color w:val="1A1A2E"/>
          <w:sz w:val="22"/>
          <w:szCs w:val="22"/>
        </w:rPr>
        <w:t xml:space="preserve">	Protect What You’ve Built — IT &amp; Security Readiness</w:t>
      </w:r>
      <w:r>
        <w:rPr>
          <w:rFonts w:ascii="Open Sans" w:cs="Open Sans" w:eastAsia="Open Sans" w:hAnsi="Open Sans"/>
          <w:color w:val="1A1A2E"/>
          <w:sz w:val="22"/>
          <w:szCs w:val="22"/>
        </w:rPr>
        <w:t xml:space="preserve">	13–15</w:t>
      </w:r>
    </w:p>
    <w:p>
      <w:pPr>
        <w:tabs>
          <w:tab w:val="left" w:pos="600"/>
          <w:tab w:val="right" w:pos="9360" w:leader="dot"/>
        </w:tabs>
        <w:spacing w:after="50" w:before="50"/>
      </w:pPr>
      <w:r>
        <w:rPr>
          <w:rFonts w:ascii="Open Sans" w:cs="Open Sans" w:eastAsia="Open Sans" w:hAnsi="Open Sans"/>
          <w:b/>
          <w:bCs/>
          <w:color w:val="F67D4B"/>
          <w:sz w:val="22"/>
          <w:szCs w:val="22"/>
        </w:rPr>
        <w:t xml:space="preserve">05</w:t>
      </w:r>
      <w:r>
        <w:rPr>
          <w:rFonts w:ascii="Open Sans" w:cs="Open Sans" w:eastAsia="Open Sans" w:hAnsi="Open Sans"/>
          <w:b w:val="false"/>
          <w:bCs w:val="false"/>
          <w:color w:val="1A1A2E"/>
          <w:sz w:val="22"/>
          <w:szCs w:val="22"/>
        </w:rPr>
        <w:t xml:space="preserve">	Where Growth &amp; Capacity Live</w:t>
      </w:r>
      <w:r>
        <w:rPr>
          <w:rFonts w:ascii="Open Sans" w:cs="Open Sans" w:eastAsia="Open Sans" w:hAnsi="Open Sans"/>
          <w:color w:val="1A1A2E"/>
          <w:sz w:val="22"/>
          <w:szCs w:val="22"/>
        </w:rPr>
        <w:t xml:space="preserve">	16</w:t>
      </w:r>
    </w:p>
    <w:p>
      <w:pPr>
        <w:tabs>
          <w:tab w:val="left" w:pos="600"/>
          <w:tab w:val="right" w:pos="9360" w:leader="dot"/>
        </w:tabs>
        <w:spacing w:after="50" w:before="50"/>
      </w:pPr>
      <w:r>
        <w:rPr>
          <w:rFonts w:ascii="Open Sans" w:cs="Open Sans" w:eastAsia="Open Sans" w:hAnsi="Open Sans"/>
          <w:b/>
          <w:bCs/>
          <w:color w:val="F67D4B"/>
          <w:sz w:val="22"/>
          <w:szCs w:val="22"/>
        </w:rPr>
        <w:t xml:space="preserve">06</w:t>
      </w:r>
      <w:r>
        <w:rPr>
          <w:rFonts w:ascii="Open Sans" w:cs="Open Sans" w:eastAsia="Open Sans" w:hAnsi="Open Sans"/>
          <w:b w:val="false"/>
          <w:bCs w:val="false"/>
          <w:color w:val="1A1A2E"/>
          <w:sz w:val="22"/>
          <w:szCs w:val="22"/>
        </w:rPr>
        <w:t xml:space="preserve">	The Supporter &amp; Partner Relationships</w:t>
      </w:r>
      <w:r>
        <w:rPr>
          <w:rFonts w:ascii="Open Sans" w:cs="Open Sans" w:eastAsia="Open Sans" w:hAnsi="Open Sans"/>
          <w:color w:val="1A1A2E"/>
          <w:sz w:val="22"/>
          <w:szCs w:val="22"/>
        </w:rPr>
        <w:t xml:space="preserve">	17–18</w:t>
      </w:r>
    </w:p>
    <w:p>
      <w:pPr>
        <w:tabs>
          <w:tab w:val="left" w:pos="600"/>
          <w:tab w:val="right" w:pos="9360" w:leader="dot"/>
        </w:tabs>
        <w:spacing w:after="50" w:before="50"/>
      </w:pPr>
      <w:r>
        <w:rPr>
          <w:rFonts w:ascii="Open Sans" w:cs="Open Sans" w:eastAsia="Open Sans" w:hAnsi="Open Sans"/>
          <w:b/>
          <w:bCs/>
          <w:color w:val="F67D4B"/>
          <w:sz w:val="22"/>
          <w:szCs w:val="22"/>
        </w:rPr>
        <w:t xml:space="preserve">07</w:t>
      </w:r>
      <w:r>
        <w:rPr>
          <w:rFonts w:ascii="Open Sans" w:cs="Open Sans" w:eastAsia="Open Sans" w:hAnsi="Open Sans"/>
          <w:b w:val="false"/>
          <w:bCs w:val="false"/>
          <w:color w:val="1A1A2E"/>
          <w:sz w:val="22"/>
          <w:szCs w:val="22"/>
        </w:rPr>
        <w:t xml:space="preserve">	The Funding &amp; Visibility Landscape</w:t>
      </w:r>
      <w:r>
        <w:rPr>
          <w:rFonts w:ascii="Open Sans" w:cs="Open Sans" w:eastAsia="Open Sans" w:hAnsi="Open Sans"/>
          <w:color w:val="1A1A2E"/>
          <w:sz w:val="22"/>
          <w:szCs w:val="22"/>
        </w:rPr>
        <w:t xml:space="preserve">	19–20</w:t>
      </w:r>
    </w:p>
    <w:p>
      <w:pPr>
        <w:tabs>
          <w:tab w:val="left" w:pos="600"/>
          <w:tab w:val="right" w:pos="9360" w:leader="dot"/>
        </w:tabs>
        <w:spacing w:after="50" w:before="50"/>
      </w:pPr>
      <w:r>
        <w:rPr>
          <w:rFonts w:ascii="Open Sans" w:cs="Open Sans" w:eastAsia="Open Sans" w:hAnsi="Open Sans"/>
          <w:b/>
          <w:bCs/>
          <w:color w:val="F67D4B"/>
          <w:sz w:val="22"/>
          <w:szCs w:val="22"/>
        </w:rPr>
        <w:t xml:space="preserve">08</w:t>
      </w:r>
      <w:r>
        <w:rPr>
          <w:rFonts w:ascii="Open Sans" w:cs="Open Sans" w:eastAsia="Open Sans" w:hAnsi="Open Sans"/>
          <w:b w:val="false"/>
          <w:bCs w:val="false"/>
          <w:color w:val="1A1A2E"/>
          <w:sz w:val="22"/>
          <w:szCs w:val="22"/>
        </w:rPr>
        <w:t xml:space="preserve">	Brand &amp; Digital Presence Audit</w:t>
      </w:r>
      <w:r>
        <w:rPr>
          <w:rFonts w:ascii="Open Sans" w:cs="Open Sans" w:eastAsia="Open Sans" w:hAnsi="Open Sans"/>
          <w:color w:val="1A1A2E"/>
          <w:sz w:val="22"/>
          <w:szCs w:val="22"/>
        </w:rPr>
        <w:t xml:space="preserve">	21–22</w:t>
      </w:r>
    </w:p>
    <w:p>
      <w:pPr>
        <w:tabs>
          <w:tab w:val="left" w:pos="600"/>
          <w:tab w:val="right" w:pos="9360" w:leader="dot"/>
        </w:tabs>
        <w:spacing w:after="50" w:before="50"/>
      </w:pPr>
      <w:r>
        <w:rPr>
          <w:rFonts w:ascii="Open Sans" w:cs="Open Sans" w:eastAsia="Open Sans" w:hAnsi="Open Sans"/>
          <w:b/>
          <w:bCs/>
          <w:color w:val="F67D4B"/>
          <w:sz w:val="22"/>
          <w:szCs w:val="22"/>
        </w:rPr>
        <w:t xml:space="preserve">09</w:t>
      </w:r>
      <w:r>
        <w:rPr>
          <w:rFonts w:ascii="Open Sans" w:cs="Open Sans" w:eastAsia="Open Sans" w:hAnsi="Open Sans"/>
          <w:b w:val="false"/>
          <w:bCs w:val="false"/>
          <w:color w:val="1A1A2E"/>
          <w:sz w:val="22"/>
          <w:szCs w:val="22"/>
        </w:rPr>
        <w:t xml:space="preserve">	Technijian Capability Proof</w:t>
      </w:r>
      <w:r>
        <w:rPr>
          <w:rFonts w:ascii="Open Sans" w:cs="Open Sans" w:eastAsia="Open Sans" w:hAnsi="Open Sans"/>
          <w:color w:val="1A1A2E"/>
          <w:sz w:val="22"/>
          <w:szCs w:val="22"/>
        </w:rPr>
        <w:t xml:space="preserve">	23–24</w:t>
      </w:r>
    </w:p>
    <w:p>
      <w:pPr>
        <w:tabs>
          <w:tab w:val="left" w:pos="600"/>
          <w:tab w:val="right" w:pos="9360" w:leader="dot"/>
        </w:tabs>
        <w:spacing w:after="50" w:before="50"/>
      </w:pPr>
      <w:r>
        <w:rPr>
          <w:rFonts w:ascii="Open Sans" w:cs="Open Sans" w:eastAsia="Open Sans" w:hAnsi="Open Sans"/>
          <w:b/>
          <w:bCs/>
          <w:color w:val="F67D4B"/>
          <w:sz w:val="22"/>
          <w:szCs w:val="22"/>
        </w:rPr>
        <w:t xml:space="preserve">10</w:t>
      </w:r>
      <w:r>
        <w:rPr>
          <w:rFonts w:ascii="Open Sans" w:cs="Open Sans" w:eastAsia="Open Sans" w:hAnsi="Open Sans"/>
          <w:b w:val="false"/>
          <w:bCs w:val="false"/>
          <w:color w:val="1A1A2E"/>
          <w:sz w:val="22"/>
          <w:szCs w:val="22"/>
        </w:rPr>
        <w:t xml:space="preserve">	Understanding AI — A Field Guide for Leadership</w:t>
      </w:r>
      <w:r>
        <w:rPr>
          <w:rFonts w:ascii="Open Sans" w:cs="Open Sans" w:eastAsia="Open Sans" w:hAnsi="Open Sans"/>
          <w:color w:val="1A1A2E"/>
          <w:sz w:val="22"/>
          <w:szCs w:val="22"/>
        </w:rPr>
        <w:t xml:space="preserve">	25–26</w:t>
      </w:r>
    </w:p>
    <w:p>
      <w:pPr>
        <w:tabs>
          <w:tab w:val="left" w:pos="600"/>
          <w:tab w:val="right" w:pos="9360" w:leader="dot"/>
        </w:tabs>
        <w:spacing w:after="50" w:before="50"/>
      </w:pPr>
      <w:r>
        <w:rPr>
          <w:rFonts w:ascii="Open Sans" w:cs="Open Sans" w:eastAsia="Open Sans" w:hAnsi="Open Sans"/>
          <w:b/>
          <w:bCs/>
          <w:color w:val="F67D4B"/>
          <w:sz w:val="22"/>
          <w:szCs w:val="22"/>
        </w:rPr>
        <w:t xml:space="preserve">11</w:t>
      </w:r>
      <w:r>
        <w:rPr>
          <w:rFonts w:ascii="Open Sans" w:cs="Open Sans" w:eastAsia="Open Sans" w:hAnsi="Open Sans"/>
          <w:b w:val="false"/>
          <w:bCs w:val="false"/>
          <w:color w:val="1A1A2E"/>
          <w:sz w:val="22"/>
          <w:szCs w:val="22"/>
        </w:rPr>
        <w:t xml:space="preserve">	The AI Growth Engine</w:t>
      </w:r>
      <w:r>
        <w:rPr>
          <w:rFonts w:ascii="Open Sans" w:cs="Open Sans" w:eastAsia="Open Sans" w:hAnsi="Open Sans"/>
          <w:color w:val="1A1A2E"/>
          <w:sz w:val="22"/>
          <w:szCs w:val="22"/>
        </w:rPr>
        <w:t xml:space="preserve">	27–28</w:t>
      </w:r>
    </w:p>
    <w:p>
      <w:pPr>
        <w:tabs>
          <w:tab w:val="left" w:pos="600"/>
          <w:tab w:val="right" w:pos="9360" w:leader="dot"/>
        </w:tabs>
        <w:spacing w:after="50" w:before="50"/>
      </w:pPr>
      <w:r>
        <w:rPr>
          <w:rFonts w:ascii="Open Sans" w:cs="Open Sans" w:eastAsia="Open Sans" w:hAnsi="Open Sans"/>
          <w:b/>
          <w:bCs/>
          <w:color w:val="F67D4B"/>
          <w:sz w:val="22"/>
          <w:szCs w:val="22"/>
        </w:rPr>
        <w:t xml:space="preserve">12</w:t>
      </w:r>
      <w:r>
        <w:rPr>
          <w:rFonts w:ascii="Open Sans" w:cs="Open Sans" w:eastAsia="Open Sans" w:hAnsi="Open Sans"/>
          <w:b w:val="false"/>
          <w:bCs w:val="false"/>
          <w:color w:val="1A1A2E"/>
          <w:sz w:val="22"/>
          <w:szCs w:val="22"/>
        </w:rPr>
        <w:t xml:space="preserve">	Mission Impact &amp; Investment</w:t>
      </w:r>
      <w:r>
        <w:rPr>
          <w:rFonts w:ascii="Open Sans" w:cs="Open Sans" w:eastAsia="Open Sans" w:hAnsi="Open Sans"/>
          <w:color w:val="1A1A2E"/>
          <w:sz w:val="22"/>
          <w:szCs w:val="22"/>
        </w:rPr>
        <w:t xml:space="preserve">	29–30</w:t>
      </w:r>
    </w:p>
    <w:p>
      <w:pPr>
        <w:tabs>
          <w:tab w:val="left" w:pos="600"/>
          <w:tab w:val="right" w:pos="9360" w:leader="dot"/>
        </w:tabs>
        <w:spacing w:after="50" w:before="50"/>
      </w:pPr>
      <w:r>
        <w:rPr>
          <w:rFonts w:ascii="Open Sans" w:cs="Open Sans" w:eastAsia="Open Sans" w:hAnsi="Open Sans"/>
          <w:b/>
          <w:bCs/>
          <w:color w:val="F67D4B"/>
          <w:sz w:val="22"/>
          <w:szCs w:val="22"/>
        </w:rPr>
        <w:t xml:space="preserve">13</w:t>
      </w:r>
      <w:r>
        <w:rPr>
          <w:rFonts w:ascii="Open Sans" w:cs="Open Sans" w:eastAsia="Open Sans" w:hAnsi="Open Sans"/>
          <w:b w:val="false"/>
          <w:bCs w:val="false"/>
          <w:color w:val="1A1A2E"/>
          <w:sz w:val="22"/>
          <w:szCs w:val="22"/>
        </w:rPr>
        <w:t xml:space="preserve">	Implementation Roadmap</w:t>
      </w:r>
      <w:r>
        <w:rPr>
          <w:rFonts w:ascii="Open Sans" w:cs="Open Sans" w:eastAsia="Open Sans" w:hAnsi="Open Sans"/>
          <w:color w:val="1A1A2E"/>
          <w:sz w:val="22"/>
          <w:szCs w:val="22"/>
        </w:rPr>
        <w:t xml:space="preserve">	31</w:t>
      </w:r>
    </w:p>
    <w:p>
      <w:pPr>
        <w:tabs>
          <w:tab w:val="left" w:pos="600"/>
          <w:tab w:val="right" w:pos="9360" w:leader="dot"/>
        </w:tabs>
        <w:spacing w:after="50" w:before="50"/>
      </w:pPr>
      <w:r>
        <w:rPr>
          <w:rFonts w:ascii="Open Sans" w:cs="Open Sans" w:eastAsia="Open Sans" w:hAnsi="Open Sans"/>
          <w:b/>
          <w:bCs/>
          <w:color w:val="F67D4B"/>
          <w:sz w:val="22"/>
          <w:szCs w:val="22"/>
        </w:rPr>
        <w:t xml:space="preserve">14</w:t>
      </w:r>
      <w:r>
        <w:rPr>
          <w:rFonts w:ascii="Open Sans" w:cs="Open Sans" w:eastAsia="Open Sans" w:hAnsi="Open Sans"/>
          <w:b w:val="false"/>
          <w:bCs w:val="false"/>
          <w:color w:val="1A1A2E"/>
          <w:sz w:val="22"/>
          <w:szCs w:val="22"/>
        </w:rPr>
        <w:t xml:space="preserve">	Quick Wins — Start This Week</w:t>
      </w:r>
      <w:r>
        <w:rPr>
          <w:rFonts w:ascii="Open Sans" w:cs="Open Sans" w:eastAsia="Open Sans" w:hAnsi="Open Sans"/>
          <w:color w:val="1A1A2E"/>
          <w:sz w:val="22"/>
          <w:szCs w:val="22"/>
        </w:rPr>
        <w:t xml:space="preserve">	32</w:t>
      </w:r>
    </w:p>
    <w:p>
      <w:pPr>
        <w:tabs>
          <w:tab w:val="left" w:pos="600"/>
          <w:tab w:val="right" w:pos="9360" w:leader="dot"/>
        </w:tabs>
        <w:spacing w:after="50" w:before="50"/>
      </w:pPr>
      <w:r>
        <w:rPr>
          <w:rFonts w:ascii="Open Sans" w:cs="Open Sans" w:eastAsia="Open Sans" w:hAnsi="Open Sans"/>
          <w:b/>
          <w:bCs/>
          <w:color w:val="F67D4B"/>
          <w:sz w:val="22"/>
          <w:szCs w:val="22"/>
        </w:rPr>
        <w:t xml:space="preserve">15</w:t>
      </w:r>
      <w:r>
        <w:rPr>
          <w:rFonts w:ascii="Open Sans" w:cs="Open Sans" w:eastAsia="Open Sans" w:hAnsi="Open Sans"/>
          <w:b w:val="false"/>
          <w:bCs w:val="false"/>
          <w:color w:val="1A1A2E"/>
          <w:sz w:val="22"/>
          <w:szCs w:val="22"/>
        </w:rPr>
        <w:t xml:space="preserve">	Questions to Complete the Analysis</w:t>
      </w:r>
      <w:r>
        <w:rPr>
          <w:rFonts w:ascii="Open Sans" w:cs="Open Sans" w:eastAsia="Open Sans" w:hAnsi="Open Sans"/>
          <w:color w:val="1A1A2E"/>
          <w:sz w:val="22"/>
          <w:szCs w:val="22"/>
        </w:rPr>
        <w:t xml:space="preserve">	33–34</w:t>
      </w:r>
    </w:p>
    <w:p>
      <w:pPr>
        <w:tabs>
          <w:tab w:val="left" w:pos="600"/>
          <w:tab w:val="right" w:pos="9360" w:leader="dot"/>
        </w:tabs>
        <w:spacing w:after="50" w:before="50"/>
      </w:pPr>
      <w:r>
        <w:rPr>
          <w:rFonts w:ascii="Open Sans" w:cs="Open Sans" w:eastAsia="Open Sans" w:hAnsi="Open Sans"/>
          <w:b/>
          <w:bCs/>
          <w:color w:val="F67D4B"/>
          <w:sz w:val="22"/>
          <w:szCs w:val="22"/>
        </w:rPr>
        <w:t xml:space="preserve">16</w:t>
      </w:r>
      <w:r>
        <w:rPr>
          <w:rFonts w:ascii="Open Sans" w:cs="Open Sans" w:eastAsia="Open Sans" w:hAnsi="Open Sans"/>
          <w:b w:val="false"/>
          <w:bCs w:val="false"/>
          <w:color w:val="1A1A2E"/>
          <w:sz w:val="22"/>
          <w:szCs w:val="22"/>
        </w:rPr>
        <w:t xml:space="preserve">	What Happens Next</w:t>
      </w:r>
      <w:r>
        <w:rPr>
          <w:rFonts w:ascii="Open Sans" w:cs="Open Sans" w:eastAsia="Open Sans" w:hAnsi="Open Sans"/>
          <w:color w:val="1A1A2E"/>
          <w:sz w:val="22"/>
          <w:szCs w:val="22"/>
        </w:rPr>
        <w:t xml:space="preserve">	35</w:t>
      </w:r>
    </w:p>
    <w:p>
      <w:pPr>
        <w:tabs>
          <w:tab w:val="left" w:pos="600"/>
          <w:tab w:val="right" w:pos="9360" w:leader="dot"/>
        </w:tabs>
        <w:spacing w:after="50" w:before="50"/>
      </w:pPr>
      <w:r>
        <w:rPr>
          <w:rFonts w:ascii="Open Sans" w:cs="Open Sans" w:eastAsia="Open Sans" w:hAnsi="Open Sans"/>
          <w:b/>
          <w:bCs/>
          <w:color w:val="F67D4B"/>
          <w:sz w:val="22"/>
          <w:szCs w:val="22"/>
        </w:rPr>
        <w:t xml:space="preserve">·</w:t>
      </w:r>
      <w:r>
        <w:rPr>
          <w:rFonts w:ascii="Open Sans" w:cs="Open Sans" w:eastAsia="Open Sans" w:hAnsi="Open Sans"/>
          <w:b w:val="false"/>
          <w:bCs w:val="false"/>
          <w:color w:val="1A1A2E"/>
          <w:sz w:val="22"/>
          <w:szCs w:val="22"/>
        </w:rPr>
        <w:t xml:space="preserve">	About Technijian</w:t>
      </w:r>
      <w:r>
        <w:rPr>
          <w:rFonts w:ascii="Open Sans" w:cs="Open Sans" w:eastAsia="Open Sans" w:hAnsi="Open Sans"/>
          <w:color w:val="1A1A2E"/>
          <w:sz w:val="22"/>
          <w:szCs w:val="22"/>
        </w:rPr>
        <w:t xml:space="preserve">	36</w:t>
      </w:r>
    </w:p>
    <w:p>
      <w:pPr>
        <w:tabs>
          <w:tab w:val="left" w:pos="600"/>
          <w:tab w:val="right" w:pos="9360" w:leader="dot"/>
        </w:tabs>
        <w:spacing w:after="50" w:before="50"/>
      </w:pPr>
      <w:r>
        <w:rPr>
          <w:rFonts w:ascii="Open Sans" w:cs="Open Sans" w:eastAsia="Open Sans" w:hAnsi="Open Sans"/>
          <w:b/>
          <w:bCs/>
          <w:color w:val="F67D4B"/>
          <w:sz w:val="22"/>
          <w:szCs w:val="22"/>
        </w:rPr>
        <w:t xml:space="preserve">·</w:t>
      </w:r>
      <w:r>
        <w:rPr>
          <w:rFonts w:ascii="Open Sans" w:cs="Open Sans" w:eastAsia="Open Sans" w:hAnsi="Open Sans"/>
          <w:b w:val="false"/>
          <w:bCs w:val="false"/>
          <w:color w:val="1A1A2E"/>
          <w:sz w:val="22"/>
          <w:szCs w:val="22"/>
        </w:rPr>
        <w:t xml:space="preserve">	Appendix — Sources &amp; What Remains to Confirm</w:t>
      </w:r>
      <w:r>
        <w:rPr>
          <w:rFonts w:ascii="Open Sans" w:cs="Open Sans" w:eastAsia="Open Sans" w:hAnsi="Open Sans"/>
          <w:color w:val="1A1A2E"/>
          <w:sz w:val="22"/>
          <w:szCs w:val="22"/>
        </w:rPr>
        <w:t xml:space="preserve">	37–38</w:t>
      </w:r>
    </w:p>
    <w:p>
      <w:pPr>
        <w:pStyle w:val="Heading1"/>
        <w:keepNext/>
        <w:pageBreakBefore/>
        <w:spacing w:after="120" w:before="0" w:line="240"/>
      </w:pPr>
      <w:r>
        <w:rPr>
          <w:rFonts w:ascii="Open Sans" w:cs="Open Sans" w:eastAsia="Open Sans" w:hAnsi="Open Sans"/>
          <w:color w:val="FFFFFF"/>
          <w:sz w:val="2"/>
          <w:szCs w:val="2"/>
        </w:rPr>
        <w:t xml:space="preserve">How to Read This Blueprint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How to Read This Blueprint</w:t>
            </w:r>
          </w:p>
        </w:tc>
      </w:tr>
    </w:tbl>
    <w:p>
      <w:pPr>
        <w:keepNext/>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First — this is built for whoever leads technology and growth at Shoes That Fit</w:t>
            </w:r>
          </w:p>
          <w:p>
            <w:pPr>
              <w:keepNext/>
              <w:keepLines/>
              <w:spacing w:after="60" w:before="40" w:line="300"/>
            </w:pPr>
            <w:r>
              <w:rPr>
                <w:rFonts w:ascii="Open Sans" w:cs="Open Sans" w:eastAsia="Open Sans" w:hAnsi="Open Sans"/>
                <w:color w:val="59595B"/>
                <w:sz w:val="20"/>
                <w:szCs w:val="20"/>
              </w:rPr>
              <w:t xml:space="preserve">When we reached out, Nekeda Newell-Hall kindly let us know she does not manage your IT. That was helpful — it tells us exactly who this is, and is not, for. So we built this for your leadership team and whoever owns technology decisions, not for any one inbox.</w:t>
            </w:r>
          </w:p>
          <w:p>
            <w:pPr>
              <w:keepNext w:val="false"/>
              <w:keepLines/>
              <w:spacing w:after="60" w:before="40" w:line="300"/>
            </w:pPr>
            <w:r>
              <w:rPr>
                <w:rFonts w:ascii="Open Sans" w:cs="Open Sans" w:eastAsia="Open Sans" w:hAnsi="Open Sans"/>
                <w:color w:val="59595B"/>
                <w:sz w:val="20"/>
                <w:szCs w:val="20"/>
              </w:rPr>
              <w:t xml:space="preserve">It also works on two fronts at once. The first is protective: a record $776,000 gift and a year of scaling raise the stakes on securing the money and the donor data behind it. The second is growth: using AI to grow the corporate-partner engine, win more grants, and reach more children — work that sits squarely in the External Affairs lane, and is easy to share with the right colleague.</w:t>
            </w:r>
          </w:p>
        </w:tc>
      </w:tr>
    </w:tbl>
    <w:p>
      <w:pPr>
        <w:spacing w:after="120" w:before="120" w:line="320"/>
        <w:jc w:val="both"/>
      </w:pPr>
      <w:r>
        <w:rPr>
          <w:rFonts w:ascii="Open Sans" w:cs="Open Sans" w:eastAsia="Open Sans" w:hAnsi="Open Sans"/>
          <w:b w:val="false"/>
          <w:bCs w:val="false"/>
          <w:i w:val="false"/>
          <w:iCs w:val="false"/>
          <w:color w:val="59595B"/>
          <w:sz w:val="22"/>
          <w:szCs w:val="22"/>
        </w:rPr>
        <w:t xml:space="preserve">This blueprint was prepared from public research, before any conversation about your internal numbers or systems. It holds itself to a simple discipline:</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reports verified facts. </w:t>
      </w:r>
      <w:r>
        <w:rPr>
          <w:rFonts w:ascii="Open Sans" w:cs="Open Sans" w:eastAsia="Open Sans" w:hAnsi="Open Sans"/>
          <w:b w:val="false"/>
          <w:bCs w:val="false"/>
          <w:i w:val="false"/>
          <w:iCs w:val="false"/>
          <w:color w:val="59595B"/>
          <w:sz w:val="22"/>
          <w:szCs w:val="22"/>
        </w:rPr>
        <w:t xml:space="preserve">Everything stated about Shoes That Fit is drawn from your own website, your IRS Form 990, Charity Navigator, reputable press, and partner sites, and is cited in the Appendix. Where a figure is something the organization reports about itself, we say so.</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labels every estimate. </w:t>
      </w:r>
      <w:r>
        <w:rPr>
          <w:rFonts w:ascii="Open Sans" w:cs="Open Sans" w:eastAsia="Open Sans" w:hAnsi="Open Sans"/>
          <w:b w:val="false"/>
          <w:bCs w:val="false"/>
          <w:i w:val="false"/>
          <w:iCs w:val="false"/>
          <w:color w:val="59595B"/>
          <w:sz w:val="22"/>
          <w:szCs w:val="22"/>
        </w:rPr>
        <w:t xml:space="preserve">Sector statistics and ranges are clearly marked as market context — never presented as your results. The numbers that matter for a plan come from a short discovery conversation.</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turns unknowns into questions. </w:t>
      </w:r>
      <w:r>
        <w:rPr>
          <w:rFonts w:ascii="Open Sans" w:cs="Open Sans" w:eastAsia="Open Sans" w:hAnsi="Open Sans"/>
          <w:b w:val="false"/>
          <w:bCs w:val="false"/>
          <w:i w:val="false"/>
          <w:iCs w:val="false"/>
          <w:color w:val="59595B"/>
          <w:sz w:val="22"/>
          <w:szCs w:val="22"/>
        </w:rPr>
        <w:t xml:space="preserve">Your current technology and security setup is not public, so we have assumed nothing about it. Where an answer requires information only your team has, we ask rather than guess — Section 15 is a structured questionnaire that completes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A few notes for accuracy</w:t>
            </w:r>
          </w:p>
          <w:p>
            <w:pPr>
              <w:keepNext/>
              <w:keepLines/>
              <w:spacing w:after="60" w:before="40" w:line="300"/>
            </w:pPr>
            <w:r>
              <w:rPr>
                <w:rFonts w:ascii="Open Sans" w:cs="Open Sans" w:eastAsia="Open Sans" w:hAnsi="Open Sans"/>
                <w:color w:val="59595B"/>
                <w:sz w:val="20"/>
                <w:szCs w:val="20"/>
              </w:rPr>
              <w:t xml:space="preserve">The record gift was reported by Shoes That Fit and the wire services as "over $776,000"; one local outlet rounded it to $766,000. We use $776,000+, and we footnote the difference.</w:t>
            </w:r>
          </w:p>
          <w:p>
            <w:pPr>
              <w:keepNext/>
              <w:keepLines/>
              <w:spacing w:after="60" w:before="40" w:line="300"/>
            </w:pPr>
            <w:r>
              <w:rPr>
                <w:rFonts w:ascii="Open Sans" w:cs="Open Sans" w:eastAsia="Open Sans" w:hAnsi="Open Sans"/>
                <w:color w:val="59595B"/>
                <w:sz w:val="20"/>
                <w:szCs w:val="20"/>
              </w:rPr>
              <w:t xml:space="preserve">We list Nekeda Newell-Hall by her current site title, Deputy CEO, External Affairs; some third-party databases still show an earlier title. And because your IT and security posture is not public, every statement about it in this document is framed as a question to confirm, not a claim.</w:t>
            </w:r>
          </w:p>
          <w:p>
            <w:pPr>
              <w:keepNext w:val="false"/>
              <w:keepLines/>
              <w:spacing w:after="60" w:before="40" w:line="300"/>
            </w:pPr>
            <w:r>
              <w:rPr>
                <w:rFonts w:ascii="Open Sans" w:cs="Open Sans" w:eastAsia="Open Sans" w:hAnsi="Open Sans"/>
                <w:color w:val="59595B"/>
                <w:sz w:val="20"/>
                <w:szCs w:val="20"/>
              </w:rPr>
              <w:t xml:space="preserve">That is the standard of evidence you should expect from every Technijian deliverable.</w:t>
            </w:r>
          </w:p>
        </w:tc>
      </w:tr>
    </w:tbl>
    <w:p>
      <w:pPr>
        <w:pStyle w:val="Heading1"/>
        <w:keepNext/>
        <w:pageBreakBefore/>
        <w:spacing w:after="120" w:before="0" w:line="240"/>
      </w:pPr>
      <w:r>
        <w:rPr>
          <w:rFonts w:ascii="Open Sans" w:cs="Open Sans" w:eastAsia="Open Sans" w:hAnsi="Open Sans"/>
          <w:color w:val="FFFFFF"/>
          <w:sz w:val="2"/>
          <w:szCs w:val="2"/>
        </w:rPr>
        <w:t xml:space="preserve">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Executive Summary</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Since 1992, Shoes That Fit has given children across the country brand-new athletic shoes so they can go to school "with dignity and joy, ready to learn, play, and thrive." The model is grassroots and elegant: a sponsoring group is matched to a partner school, the school measures each child for size and fit, and the sponsor provides exactly what that child needs. From its Claremont headquarters and a new Shoe Bank, the organization now reaches roughly 218,000 children a year across all 50 states and more than 2,100 communities, and has distributed over three million pairs of shoes since it began.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4"/>
                <w:szCs w:val="44"/>
              </w:rPr>
              <w:t xml:space="preserve">1992</w:t>
            </w:r>
          </w:p>
          <w:p>
            <w:pPr>
              <w:jc w:val="center"/>
            </w:pPr>
            <w:r>
              <w:rPr>
                <w:rFonts w:ascii="Open Sans" w:cs="Open Sans" w:eastAsia="Open Sans" w:hAnsi="Open Sans"/>
                <w:color w:val="59595B"/>
                <w:sz w:val="16"/>
                <w:szCs w:val="16"/>
              </w:rPr>
              <w:t xml:space="preserve">Founded · national 501(c)(3)</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4"/>
                <w:szCs w:val="44"/>
              </w:rPr>
              <w:t xml:space="preserve">~218K</w:t>
            </w:r>
          </w:p>
          <w:p>
            <w:pPr>
              <w:jc w:val="center"/>
            </w:pPr>
            <w:r>
              <w:rPr>
                <w:rFonts w:ascii="Open Sans" w:cs="Open Sans" w:eastAsia="Open Sans" w:hAnsi="Open Sans"/>
                <w:color w:val="59595B"/>
                <w:sz w:val="16"/>
                <w:szCs w:val="16"/>
              </w:rPr>
              <w:t xml:space="preserve">Children served per year, all 50 states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4"/>
                <w:szCs w:val="44"/>
              </w:rPr>
              <w:t xml:space="preserve">3M+</w:t>
            </w:r>
          </w:p>
          <w:p>
            <w:pPr>
              <w:jc w:val="center"/>
            </w:pPr>
            <w:r>
              <w:rPr>
                <w:rFonts w:ascii="Open Sans" w:cs="Open Sans" w:eastAsia="Open Sans" w:hAnsi="Open Sans"/>
                <w:color w:val="59595B"/>
                <w:sz w:val="16"/>
                <w:szCs w:val="16"/>
              </w:rPr>
              <w:t xml:space="preserve">Pairs of new shoes since 1992</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28A745"/>
                <w:sz w:val="44"/>
                <w:szCs w:val="44"/>
              </w:rPr>
              <w:t xml:space="preserve">$776K+</w:t>
            </w:r>
          </w:p>
          <w:p>
            <w:pPr>
              <w:jc w:val="center"/>
            </w:pPr>
            <w:r>
              <w:rPr>
                <w:rFonts w:ascii="Open Sans" w:cs="Open Sans" w:eastAsia="Open Sans" w:hAnsi="Open Sans"/>
                <w:color w:val="59595B"/>
                <w:sz w:val="16"/>
                <w:szCs w:val="16"/>
              </w:rPr>
              <w:t xml:space="preserve">Largest-ever gift · Stater Bros., June 2026</w:t>
            </w:r>
          </w:p>
        </w:tc>
      </w:tr>
    </w:tbl>
    <w:p>
      <w:pPr>
        <w:keepNext/>
        <w:spacing w:after="0" w:before="16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This blueprint works on two fronts, because this moment calls for both. In June 2026, a 12-day Stater Bros. Charities campaign delivered the largest single donation in the organization’s history — over $776,000 for new sneakers this fall. That visibility, a year of scaling into a new warehouse, and a fiscal year in which the organization deliberately spent more than it raised all point to the same need: protect what has been built, and grow what comes next.</w:t>
      </w:r>
    </w:p>
    <w:p>
      <w:pPr>
        <w:spacing w:after="120" w:before="0" w:line="320"/>
        <w:jc w:val="both"/>
      </w:pPr>
      <w:r>
        <w:rPr>
          <w:rFonts w:ascii="Open Sans" w:cs="Open Sans" w:eastAsia="Open Sans" w:hAnsi="Open Sans"/>
          <w:b/>
          <w:bCs/>
          <w:i w:val="false"/>
          <w:iCs w:val="false"/>
          <w:color w:val="1A1A2E"/>
          <w:sz w:val="22"/>
          <w:szCs w:val="22"/>
        </w:rPr>
        <w:t xml:space="preserve">Front one — protect. </w:t>
      </w:r>
      <w:r>
        <w:rPr>
          <w:rFonts w:ascii="Open Sans" w:cs="Open Sans" w:eastAsia="Open Sans" w:hAnsi="Open Sans"/>
          <w:b w:val="false"/>
          <w:bCs w:val="false"/>
          <w:i w:val="false"/>
          <w:iCs w:val="false"/>
          <w:color w:val="59595B"/>
          <w:sz w:val="22"/>
          <w:szCs w:val="22"/>
        </w:rPr>
        <w:t xml:space="preserve">A nonprofit that holds donor data, processes card gifts, and moves money with corporate partners is exactly the kind of organization criminals target — and a widely publicized windfall is the kind of event that draws them. The foundation in Section 04 is practical and right-sized: verify payments against wire fraud, secure identities and devices, migrate cleanly through the 2025 Microsoft nonprofit-licensing change, and know where donor data lives. It begins with one free risk assessment, the same one we run for our managed clients.</w:t>
      </w:r>
    </w:p>
    <w:p>
      <w:pPr>
        <w:spacing w:after="120" w:before="0" w:line="320"/>
        <w:jc w:val="both"/>
      </w:pPr>
      <w:r>
        <w:rPr>
          <w:rFonts w:ascii="Open Sans" w:cs="Open Sans" w:eastAsia="Open Sans" w:hAnsi="Open Sans"/>
          <w:b/>
          <w:bCs/>
          <w:i w:val="false"/>
          <w:iCs w:val="false"/>
          <w:color w:val="1A1A2E"/>
          <w:sz w:val="22"/>
          <w:szCs w:val="22"/>
        </w:rPr>
        <w:t xml:space="preserve">Front two — grow. </w:t>
      </w:r>
      <w:r>
        <w:rPr>
          <w:rFonts w:ascii="Open Sans" w:cs="Open Sans" w:eastAsia="Open Sans" w:hAnsi="Open Sans"/>
          <w:b w:val="false"/>
          <w:bCs w:val="false"/>
          <w:i w:val="false"/>
          <w:iCs w:val="false"/>
          <w:color w:val="59595B"/>
          <w:sz w:val="22"/>
          <w:szCs w:val="22"/>
        </w:rPr>
        <w:t xml:space="preserve">Your corporate and celebrity partnerships — Nordstrom, Stater Bros., Capital Group, the Dodgers and Rams — are the engine, and AI strengthens it: finding look-alike corporate prospects, drafting grants faster, re-engaging lapsed donors, and producing the per-partner impact reports that win the next gift. Across both fronts the rule never changes: AI drafts and researches, security protects, and a person owns every relationship and verifies every claim.</w:t>
      </w:r>
    </w:p>
    <w:p>
      <w:pPr>
        <w:spacing w:after="120" w:before="0" w:line="320"/>
        <w:jc w:val="both"/>
      </w:pPr>
      <w:r>
        <w:rPr>
          <w:rFonts w:ascii="Open Sans" w:cs="Open Sans" w:eastAsia="Open Sans" w:hAnsi="Open Sans"/>
          <w:b/>
          <w:bCs/>
          <w:i w:val="false"/>
          <w:iCs w:val="false"/>
          <w:color w:val="1A1A2E"/>
          <w:sz w:val="22"/>
          <w:szCs w:val="22"/>
        </w:rPr>
        <w:t xml:space="preserve">And it is built to be affordable. </w:t>
      </w:r>
      <w:r>
        <w:rPr>
          <w:rFonts w:ascii="Open Sans" w:cs="Open Sans" w:eastAsia="Open Sans" w:hAnsi="Open Sans"/>
          <w:b w:val="false"/>
          <w:bCs w:val="false"/>
          <w:i w:val="false"/>
          <w:iCs w:val="false"/>
          <w:color w:val="59595B"/>
          <w:sz w:val="22"/>
          <w:szCs w:val="22"/>
        </w:rPr>
        <w:t xml:space="preserve">Much of the enabling technology is free or discounted to 501(c)(3) organizations — including up to $10,000 a month in free Google search advertising and nonprofit-priced Microsoft tools. We scope the rest to your budget and grant cycles, and we measure return the way a mission measures it — in dollars raised, staff hours recovered, children reached, and risk avoided — not a revenue multiple (Section 12 and Section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one idea to carry into the conversation</w:t>
            </w:r>
          </w:p>
          <w:p>
            <w:pPr>
              <w:keepNext w:val="false"/>
              <w:keepLines/>
              <w:spacing w:after="60" w:before="40" w:line="300"/>
            </w:pPr>
            <w:r>
              <w:rPr>
                <w:rFonts w:ascii="Open Sans" w:cs="Open Sans" w:eastAsia="Open Sans" w:hAnsi="Open Sans"/>
                <w:color w:val="59595B"/>
                <w:sz w:val="20"/>
                <w:szCs w:val="20"/>
              </w:rPr>
              <w:t xml:space="preserve">A record gift is both an opportunity and a target. The same engine that protects the $776,000 and the donor trust behind it can also grow the partner relationships that produced it — so a small team of 44 can secure more, raise more, and reach more children without adding overhead. That is the two-front case this blueprint makes.</w:t>
            </w:r>
          </w:p>
        </w:tc>
      </w:tr>
    </w:tbl>
    <w:p>
      <w:pPr>
        <w:pStyle w:val="Heading1"/>
        <w:keepNext/>
        <w:pageBreakBefore/>
        <w:spacing w:after="120" w:before="0" w:line="240"/>
      </w:pPr>
      <w:r>
        <w:rPr>
          <w:rFonts w:ascii="Open Sans" w:cs="Open Sans" w:eastAsia="Open Sans" w:hAnsi="Open Sans"/>
          <w:color w:val="FFFFFF"/>
          <w:sz w:val="2"/>
          <w:szCs w:val="2"/>
        </w:rPr>
        <w:t xml:space="preserve">01  The Organization &amp; Mission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The Organization &amp; Mission</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Everything in this section is drawn from Shoes That Fit’s own website, its IRS Form 990, Charity Navigator, reputable press, and partner organizations (see Appendix). Figures the organization reports about itself are attributed as such.</w:t>
      </w:r>
    </w:p>
    <w:p>
      <w:pPr>
        <w:pStyle w:val="Heading2"/>
        <w:keepNext/>
        <w:keepLines/>
        <w:spacing w:after="130" w:before="300"/>
      </w:pPr>
      <w:r>
        <w:rPr>
          <w:rFonts w:ascii="Open Sans" w:cs="Open Sans" w:eastAsia="Open Sans" w:hAnsi="Open Sans"/>
          <w:b/>
          <w:bCs/>
          <w:color w:val="006DB6"/>
          <w:sz w:val="27"/>
          <w:szCs w:val="27"/>
        </w:rPr>
        <w:t xml:space="preserve">A simple idea, run at national scale</w:t>
      </w:r>
    </w:p>
    <w:p>
      <w:pPr>
        <w:spacing w:after="120" w:before="0" w:line="320"/>
        <w:jc w:val="both"/>
      </w:pPr>
      <w:r>
        <w:rPr>
          <w:rFonts w:ascii="Open Sans" w:cs="Open Sans" w:eastAsia="Open Sans" w:hAnsi="Open Sans"/>
          <w:b w:val="false"/>
          <w:bCs w:val="false"/>
          <w:i w:val="false"/>
          <w:iCs w:val="false"/>
          <w:color w:val="59595B"/>
          <w:sz w:val="22"/>
          <w:szCs w:val="22"/>
        </w:rPr>
        <w:t xml:space="preserve">Shoes That Fit gives children in need brand-new athletic shoes — and other essentials — so they can attend school ready to learn, play, and thrive. It frames the work in terms of dignity: a child who has shoes that fit is not singled out, can take part in recess and P.E., and shows up with confidence. From a single idea in 1992 it has grown into a national organization reaching all 50 states.</w:t>
      </w:r>
    </w:p>
    <w:p>
      <w:pPr>
        <w:pStyle w:val="Heading2"/>
        <w:keepNext/>
        <w:keepLines/>
        <w:spacing w:after="130" w:before="300"/>
      </w:pPr>
      <w:r>
        <w:rPr>
          <w:rFonts w:ascii="Open Sans" w:cs="Open Sans" w:eastAsia="Open Sans" w:hAnsi="Open Sans"/>
          <w:b/>
          <w:bCs/>
          <w:color w:val="006DB6"/>
          <w:sz w:val="27"/>
          <w:szCs w:val="27"/>
        </w:rPr>
        <w:t xml:space="preserve">How the model works</w:t>
      </w:r>
    </w:p>
    <w:p>
      <w:pPr>
        <w:spacing w:after="100" w:before="0" w:line="320"/>
        <w:jc w:val="both"/>
      </w:pPr>
      <w:r>
        <w:rPr>
          <w:rFonts w:ascii="Open Sans" w:cs="Open Sans" w:eastAsia="Open Sans" w:hAnsi="Open Sans"/>
          <w:b w:val="false"/>
          <w:bCs w:val="false"/>
          <w:i w:val="false"/>
          <w:iCs w:val="false"/>
          <w:color w:val="59595B"/>
          <w:sz w:val="22"/>
          <w:szCs w:val="22"/>
        </w:rPr>
        <w:t xml:space="preserve">The mechanic is grassroots sponsor-matching, and it is the heart of why the organization is trusted. Shoes That Fit pairs a sponsoring group — a business, school, church, civic club, or a group of friends — with a partner school. Teachers and staff at the school identify the children most in need and measure each one for size and fit. The sponsor then buys exactly what each child needs, and the shoes are delivered to the school. Sponsors choose how many children to help; a community fundraiser starts at about 30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Step</w:t>
            </w:r>
          </w:p>
        </w:tc>
        <w:tc>
          <w:tcPr>
            <w:tcW w:type="dxa" w:w="7301"/>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happens</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Match</w:t>
            </w:r>
          </w:p>
        </w:tc>
        <w:tc>
          <w:tcPr>
            <w:tcW w:type="dxa" w:w="730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sponsoring group is paired with a partner school in a community that needs support.</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Measure</w:t>
            </w:r>
          </w:p>
        </w:tc>
        <w:tc>
          <w:tcPr>
            <w:tcW w:type="dxa" w:w="7301"/>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School staff identify the children most in need and measure each child for the right size and fit.</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Provide</w:t>
            </w:r>
          </w:p>
        </w:tc>
        <w:tc>
          <w:tcPr>
            <w:tcW w:type="dxa" w:w="730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sponsor funds exactly what each child needs — brand-new shoes, never used.</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Deliver</w:t>
            </w:r>
          </w:p>
        </w:tc>
        <w:tc>
          <w:tcPr>
            <w:tcW w:type="dxa" w:w="7301"/>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Shoes arrive at the school and reach the children with dignity, no child singled out.</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Sustain</w:t>
            </w:r>
          </w:p>
        </w:tc>
        <w:tc>
          <w:tcPr>
            <w:tcW w:type="dxa" w:w="730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new 16,000 sq ft Shoe Bank warehouse lets the organization hold inventory and scale distribution.</w:t>
            </w:r>
          </w:p>
        </w:tc>
      </w:tr>
    </w:tbl>
    <w:p>
      <w:pPr>
        <w:pStyle w:val="Heading2"/>
        <w:keepNext/>
        <w:keepLines/>
        <w:spacing w:after="130" w:before="300"/>
      </w:pPr>
      <w:r>
        <w:rPr>
          <w:rFonts w:ascii="Open Sans" w:cs="Open Sans" w:eastAsia="Open Sans" w:hAnsi="Open Sans"/>
          <w:b/>
          <w:bCs/>
          <w:color w:val="006DB6"/>
          <w:sz w:val="27"/>
          <w:szCs w:val="27"/>
        </w:rPr>
        <w:t xml:space="preserve">Footprint, leadership, and scale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6927"/>
      </w:tblGrid>
      <w:tr>
        <w:trPr>
          <w:tblHeader/>
        </w:trPr>
        <w:tc>
          <w:tcPr>
            <w:tcW w:type="dxa" w:w="2433"/>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Attribute</w:t>
            </w:r>
          </w:p>
        </w:tc>
        <w:tc>
          <w:tcPr>
            <w:tcW w:type="dxa" w:w="6927"/>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Verified fact</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Founded</w:t>
            </w:r>
          </w:p>
        </w:tc>
        <w:tc>
          <w:tcPr>
            <w:tcW w:type="dxa" w:w="692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1992; recognized as a 501(c)(3) public charity (IRS tax-exempt since August 1993). EIN 95-4425565; fiscal year ends June 30.</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Headquarters</w:t>
            </w:r>
          </w:p>
        </w:tc>
        <w:tc>
          <w:tcPr>
            <w:tcW w:type="dxa" w:w="692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150 W. 1st St., Suite 170, Claremont, CA 91711, plus a new 16,000 sq ft Shoe Bank warehouse.</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Reach</w:t>
            </w:r>
          </w:p>
        </w:tc>
        <w:tc>
          <w:tcPr>
            <w:tcW w:type="dxa" w:w="692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All 50 states and Washington, D.C.; roughly 218,000 children a year across more than 2,100 communities (organization-reported).</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Cumulative impact</w:t>
            </w:r>
          </w:p>
        </w:tc>
        <w:tc>
          <w:tcPr>
            <w:tcW w:type="dxa" w:w="692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More than 3 million pairs of new shoes distributed since 1992 (organization-reported).</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Leadership</w:t>
            </w:r>
          </w:p>
        </w:tc>
        <w:tc>
          <w:tcPr>
            <w:tcW w:type="dxa" w:w="692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Amy Fass, CEO &amp; Executive Director. Nekeda Newell-Hall, Deputy CEO, External Affairs (corporate, celebrity, and athlete partnerships; formerly Nike). Julie Stevens, Chief of Staff. Jeff Fueston, VP, Supply Chain.</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Governance</w:t>
            </w:r>
          </w:p>
        </w:tc>
        <w:tc>
          <w:tcPr>
            <w:tcW w:type="dxa" w:w="692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An uncompensated board chaired by Lynn Mason (appointed March 2026); Charity Navigator rates the organization 99% (Four-Star), with an independent audit and audit committee confirmed.</w:t>
            </w:r>
          </w:p>
        </w:tc>
      </w:tr>
    </w:tbl>
    <w:p>
      <w:pPr>
        <w:keepNext/>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What we have NOT assumed</w:t>
            </w:r>
          </w:p>
          <w:p>
            <w:pPr>
              <w:keepNext w:val="false"/>
              <w:keepLines/>
              <w:spacing w:after="60" w:before="40" w:line="300"/>
            </w:pPr>
            <w:r>
              <w:rPr>
                <w:rFonts w:ascii="Open Sans" w:cs="Open Sans" w:eastAsia="Open Sans" w:hAnsi="Open Sans"/>
                <w:color w:val="59595B"/>
                <w:sz w:val="20"/>
                <w:szCs w:val="20"/>
              </w:rPr>
              <w:t xml:space="preserve">We do not know, and have not guessed: your current number of partner schools; how school intake, sizing, and distribution are coordinated today; your donor and grant systems; how card gifts are processed; or who runs your technology and security. Most important for the protective half of this plan, your entire IT and security posture is private — so we treat it as a set of questions in Section 15, not a set of claims.</w:t>
            </w:r>
          </w:p>
        </w:tc>
      </w:tr>
    </w:tbl>
    <w:p>
      <w:pPr>
        <w:pStyle w:val="Heading1"/>
        <w:keepNext/>
        <w:pageBreakBefore/>
        <w:spacing w:after="120" w:before="0" w:line="240"/>
      </w:pPr>
      <w:r>
        <w:rPr>
          <w:rFonts w:ascii="Open Sans" w:cs="Open Sans" w:eastAsia="Open Sans" w:hAnsi="Open Sans"/>
          <w:color w:val="FFFFFF"/>
          <w:sz w:val="2"/>
          <w:szCs w:val="2"/>
        </w:rPr>
        <w:t xml:space="preserve">02  How Shoes That Fit Creates &amp; Sustains Impact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How Shoes That Fit Creates &amp; Sustains Impact</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A nonprofit runs on a cycle: support comes in, the organization turns it into outcomes for children, and those outcomes — told well and measured honestly — bring in more support. AI can strengthen every stage of that cycle, and security protects the parts of it that move money and data — without changing the human heart of the work.</w:t>
      </w:r>
    </w:p>
    <w:p>
      <w:pPr>
        <w:keepNext/>
        <w:spacing w:after="60" w:before="120"/>
        <w:jc w:val="center"/>
      </w:pPr>
      <w:r>
        <w:drawing>
          <wp:inline distT="0" distB="0" distL="0" distR="0">
            <wp:extent cx="5943600" cy="3324225"/>
            <wp:effectExtent t="0" r="0" b="0" l="0"/>
            <wp:docPr id="1" name="How Shoes That Fit creates and sustains impact" descr="How Shoes That Fit creates and sustains impact" title="How Shoes That Fit creates and sustains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24225"/>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02.0 — Support in (left), the organization and Shoe Bank (center), outcomes for children (right). The orange band shows where Technijian plugs in on two fronts: securing the money and data, and growing the mission with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305"/>
        <w:gridCol w:w="2809"/>
      </w:tblGrid>
      <w:tr>
        <w:trPr>
          <w:tblHeader/>
        </w:trPr>
        <w:tc>
          <w:tcPr>
            <w:tcW w:type="dxa" w:w="2246"/>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Stage</w:t>
            </w:r>
          </w:p>
        </w:tc>
        <w:tc>
          <w:tcPr>
            <w:tcW w:type="dxa" w:w="4305"/>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is today</w:t>
            </w:r>
          </w:p>
        </w:tc>
        <w:tc>
          <w:tcPr>
            <w:tcW w:type="dxa" w:w="2809"/>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Where Technijian helps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EAAC8"/>
                <w:sz w:val="19"/>
                <w:szCs w:val="19"/>
              </w:rPr>
              <w:t xml:space="preserve">Support in</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Corporate and celebrity partners, community sponsors, individual and legacy donors, foundations and grants — nearly all revenue is contributions.</w:t>
            </w:r>
          </w:p>
        </w:tc>
        <w:tc>
          <w:tcPr>
            <w:tcW w:type="dxa" w:w="280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Partner ABM, grants, donor intelligence; secure payments.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A1A2E"/>
                <w:sz w:val="19"/>
                <w:szCs w:val="19"/>
              </w:rPr>
              <w:t xml:space="preserve">The work</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Matching sponsors to schools, sizing children, and distributing new shoes from the Shoe Bank at 50-state scale.</w:t>
            </w:r>
          </w:p>
        </w:tc>
        <w:tc>
          <w:tcPr>
            <w:tcW w:type="dxa" w:w="280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School-intake &amp; logistics automation; staff time recovered.</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Outcomes</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Confidence, attendance, and dignity for children who arrive at school in shoes that fit.</w:t>
            </w:r>
          </w:p>
        </w:tc>
        <w:tc>
          <w:tcPr>
            <w:tcW w:type="dxa" w:w="280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Impact measurement; consistent per-partner reporting.</w:t>
            </w:r>
          </w:p>
        </w:tc>
      </w:tr>
    </w:tbl>
    <w:p>
      <w:pPr>
        <w:keepNext/>
        <w:spacing w:after="0" w:before="80"/>
      </w:pPr>
      <w:r>
        <w:t xml:space="preserve"/>
      </w:r>
    </w:p>
    <w:p>
      <w:pPr>
        <w:spacing w:after="120" w:before="0" w:line="320"/>
        <w:jc w:val="both"/>
      </w:pPr>
      <w:r>
        <w:rPr>
          <w:rFonts w:ascii="Open Sans" w:cs="Open Sans" w:eastAsia="Open Sans" w:hAnsi="Open Sans"/>
          <w:b/>
          <w:bCs/>
          <w:i w:val="false"/>
          <w:iCs w:val="false"/>
          <w:color w:val="1A1A2E"/>
          <w:sz w:val="22"/>
          <w:szCs w:val="22"/>
        </w:rPr>
        <w:t xml:space="preserve">The relationships you already run are the anchor. </w:t>
      </w:r>
      <w:r>
        <w:rPr>
          <w:rFonts w:ascii="Open Sans" w:cs="Open Sans" w:eastAsia="Open Sans" w:hAnsi="Open Sans"/>
          <w:b w:val="false"/>
          <w:bCs w:val="false"/>
          <w:i w:val="false"/>
          <w:iCs w:val="false"/>
          <w:color w:val="59595B"/>
          <w:sz w:val="22"/>
          <w:szCs w:val="22"/>
        </w:rPr>
        <w:t xml:space="preserve">Your partnerships, your donor base, and your school network are the assets — and the highest-value technology here does not replace them. Security protects the money and data flowing through them, and AI removes the repetitive work around them, so a small team keeps doing what only people can do: build trust and win the next gift.</w:t>
      </w:r>
    </w:p>
    <w:p>
      <w:pPr>
        <w:pStyle w:val="Heading1"/>
        <w:keepNext/>
        <w:pageBreakBefore/>
        <w:spacing w:after="120" w:before="0" w:line="240"/>
      </w:pPr>
      <w:r>
        <w:rPr>
          <w:rFonts w:ascii="Open Sans" w:cs="Open Sans" w:eastAsia="Open Sans" w:hAnsi="Open Sans"/>
          <w:color w:val="FFFFFF"/>
          <w:sz w:val="2"/>
          <w:szCs w:val="2"/>
        </w:rPr>
        <w:t xml:space="preserve">03  The Moment — A Record Gift and a Year of Scaling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The Moment — A Record Gift and a Year of Scaling</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Strategy should start from what is actually happening. Three facts about this moment shape everything that follows — and together they make the two-front case.</w:t>
      </w:r>
    </w:p>
    <w:p>
      <w:pPr>
        <w:pStyle w:val="Heading3"/>
        <w:keepNext/>
        <w:spacing w:after="90" w:before="220"/>
      </w:pPr>
      <w:r>
        <w:rPr>
          <w:rFonts w:ascii="Open Sans" w:cs="Open Sans" w:eastAsia="Open Sans" w:hAnsi="Open Sans"/>
          <w:b/>
          <w:bCs/>
          <w:color w:val="1A1A2E"/>
          <w:sz w:val="24"/>
          <w:szCs w:val="24"/>
        </w:rPr>
        <w:t xml:space="preserve">A record $776,000 gift, in public</w:t>
      </w:r>
    </w:p>
    <w:p>
      <w:pPr>
        <w:spacing w:after="120" w:before="0" w:line="320"/>
        <w:jc w:val="both"/>
      </w:pPr>
      <w:r>
        <w:rPr>
          <w:rFonts w:ascii="Open Sans" w:cs="Open Sans" w:eastAsia="Open Sans" w:hAnsi="Open Sans"/>
          <w:b w:val="false"/>
          <w:bCs w:val="false"/>
          <w:i w:val="false"/>
          <w:iCs w:val="false"/>
          <w:color w:val="59595B"/>
          <w:sz w:val="22"/>
          <w:szCs w:val="22"/>
        </w:rPr>
        <w:t xml:space="preserve">In June 2026, a 12-day in-store campaign across Stater Bros. Markets raised over $776,000 for Shoes That Fit — the largest single donation in the organization’s history — to provide brand-new athletic shoes to hundreds of Southern California students this fall. It builds on a partnership that began in 2019. As CEO Amy Fass put it, </w:t>
      </w:r>
      <w:r>
        <w:rPr>
          <w:rFonts w:ascii="Open Sans" w:cs="Open Sans" w:eastAsia="Open Sans" w:hAnsi="Open Sans"/>
          <w:b w:val="false"/>
          <w:bCs w:val="false"/>
          <w:i/>
          <w:iCs/>
          <w:color w:val="59595B"/>
          <w:sz w:val="22"/>
          <w:szCs w:val="22"/>
        </w:rPr>
        <w:t xml:space="preserve">"the simple gift of a pair of shoes has been shown to increase a child’s confidence, attendance, and performance at school."</w:t>
      </w:r>
      <w:r>
        <w:rPr>
          <w:rFonts w:ascii="Open Sans" w:cs="Open Sans" w:eastAsia="Open Sans" w:hAnsi="Open Sans"/>
          <w:b w:val="false"/>
          <w:bCs w:val="false"/>
          <w:i w:val="false"/>
          <w:iCs w:val="false"/>
          <w:color w:val="59595B"/>
          <w:sz w:val="22"/>
          <w:szCs w:val="22"/>
        </w:rPr>
        <w:t xml:space="preserve"> A gift this size, announced this publicly, is a milestone worth protecting as much as celebrating.</w:t>
      </w:r>
    </w:p>
    <w:p>
      <w:pPr>
        <w:pStyle w:val="Heading3"/>
        <w:keepNext/>
        <w:spacing w:after="90" w:before="220"/>
      </w:pPr>
      <w:r>
        <w:rPr>
          <w:rFonts w:ascii="Open Sans" w:cs="Open Sans" w:eastAsia="Open Sans" w:hAnsi="Open Sans"/>
          <w:b/>
          <w:bCs/>
          <w:color w:val="1A1A2E"/>
          <w:sz w:val="24"/>
          <w:szCs w:val="24"/>
        </w:rPr>
        <w:t xml:space="preserve">A year of scaling</w:t>
      </w:r>
    </w:p>
    <w:p>
      <w:pPr>
        <w:spacing w:after="120" w:before="0" w:line="320"/>
        <w:jc w:val="both"/>
      </w:pPr>
      <w:r>
        <w:rPr>
          <w:rFonts w:ascii="Open Sans" w:cs="Open Sans" w:eastAsia="Open Sans" w:hAnsi="Open Sans"/>
          <w:b w:val="false"/>
          <w:bCs w:val="false"/>
          <w:i w:val="false"/>
          <w:iCs w:val="false"/>
          <w:color w:val="59595B"/>
          <w:sz w:val="22"/>
          <w:szCs w:val="22"/>
        </w:rPr>
        <w:t xml:space="preserve">The organization recently opened a 16,000 sq ft Shoe Bank warehouse and reports serving roughly 218,000 children a year across all 50 states. Scaling inventory, logistics, and distribution to that level is an operational achievement — and it adds systems, data, and coordination that benefit from both automation and sound security.</w:t>
      </w:r>
    </w:p>
    <w:p>
      <w:pPr>
        <w:pStyle w:val="Heading3"/>
        <w:keepNext/>
        <w:spacing w:after="90" w:before="220"/>
      </w:pPr>
      <w:r>
        <w:rPr>
          <w:rFonts w:ascii="Open Sans" w:cs="Open Sans" w:eastAsia="Open Sans" w:hAnsi="Open Sans"/>
          <w:b/>
          <w:bCs/>
          <w:color w:val="1A1A2E"/>
          <w:sz w:val="24"/>
          <w:szCs w:val="24"/>
        </w:rPr>
        <w:t xml:space="preserve">A fiscal year that invested ahead of revenue</w:t>
      </w:r>
    </w:p>
    <w:p>
      <w:pPr>
        <w:spacing w:after="120" w:before="0" w:line="320"/>
        <w:jc w:val="both"/>
      </w:pPr>
      <w:r>
        <w:rPr>
          <w:rFonts w:ascii="Open Sans" w:cs="Open Sans" w:eastAsia="Open Sans" w:hAnsi="Open Sans"/>
          <w:b w:val="false"/>
          <w:bCs w:val="false"/>
          <w:i w:val="false"/>
          <w:iCs w:val="false"/>
          <w:color w:val="59595B"/>
          <w:sz w:val="22"/>
          <w:szCs w:val="22"/>
        </w:rPr>
        <w:t xml:space="preserve">Per its IRS Form 990, in fiscal year 2025 (ended June 30) Shoes That Fit reported about $13.1 million in revenue against roughly $17.2 million in expenses — a deliberate draw-down after a strong prior year — with nearly all revenue coming from contributions. We have not confirmed the reasons with the organization (that is a discovery item), but the pattern is clear and common for a mission in a growth year: </w:t>
      </w:r>
      <w:r>
        <w:rPr>
          <w:rFonts w:ascii="Open Sans" w:cs="Open Sans" w:eastAsia="Open Sans" w:hAnsi="Open Sans"/>
          <w:b/>
          <w:bCs/>
          <w:i w:val="false"/>
          <w:iCs w:val="false"/>
          <w:color w:val="1A1A2E"/>
          <w:sz w:val="22"/>
          <w:szCs w:val="22"/>
        </w:rPr>
        <w:t xml:space="preserve">deepening and protecting private and partner support is the priority, not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Why this matters for the plan</w:t>
            </w:r>
          </w:p>
          <w:p>
            <w:pPr>
              <w:keepNext w:val="false"/>
              <w:keepLines/>
              <w:spacing w:after="60" w:before="40" w:line="300"/>
            </w:pPr>
            <w:r>
              <w:rPr>
                <w:rFonts w:ascii="Open Sans" w:cs="Open Sans" w:eastAsia="Open Sans" w:hAnsi="Open Sans"/>
                <w:color w:val="59595B"/>
                <w:sz w:val="20"/>
                <w:szCs w:val="20"/>
              </w:rPr>
              <w:t xml:space="preserve">A publicized windfall rewards better security; a scaling operation rewards automation; and a contribution-dependent, invest-ahead year rewards a stronger, AI-supported development engine. Every one of these forces points at a specific capability later in this blueprint — and none asks Shoes That Fit to change its mission, only to protect and extend the work it already does.</w:t>
            </w:r>
          </w:p>
        </w:tc>
      </w:tr>
    </w:tbl>
    <w:p>
      <w:pPr>
        <w:pStyle w:val="Heading1"/>
        <w:keepNext/>
        <w:pageBreakBefore/>
        <w:spacing w:after="120" w:before="0" w:line="240"/>
      </w:pPr>
      <w:r>
        <w:rPr>
          <w:rFonts w:ascii="Open Sans" w:cs="Open Sans" w:eastAsia="Open Sans" w:hAnsi="Open Sans"/>
          <w:color w:val="FFFFFF"/>
          <w:sz w:val="2"/>
          <w:szCs w:val="2"/>
        </w:rPr>
        <w:t xml:space="preserve">04  Protect What You’ve Built — IT &amp; Security Readiness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04  Protect What You’ve Built — IT &amp; Security Readiness</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This is the protective front, and it comes first because a record gift and a year of scaling raise the stakes on the basics. To be clear about method: your current technology and security setup is private, so nothing here is a claim about what you have or lack. It is a right-sized readiness map for an organization that holds donor data, processes card gifts, and moves money with corporate partners — with the open questions gathered in Section 15.</w:t>
      </w:r>
    </w:p>
    <w:p>
      <w:pPr>
        <w:keepNext/>
        <w:spacing w:after="60" w:before="120"/>
        <w:jc w:val="center"/>
      </w:pPr>
      <w:r>
        <w:drawing>
          <wp:inline distT="0" distB="0" distL="0" distR="0">
            <wp:extent cx="5943600" cy="3438525"/>
            <wp:effectExtent t="0" r="0" b="0" l="0"/>
            <wp:docPr id="1" name="Two fronts — protect, then grow" descr="Two fronts — protect, then grow" title="Two fronts — protect, then 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438525"/>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04.0 — The same moment raises the stakes on both fronts. Foundation (left): secure the gifts, the donor data, and the team. Growth (right): grow the partner engine and donor base with AI. This section covers the foundation.</w:t>
      </w:r>
    </w:p>
    <w:p>
      <w:pPr>
        <w:pStyle w:val="Heading2"/>
        <w:keepNext/>
        <w:keepLines/>
        <w:spacing w:after="130" w:before="300"/>
      </w:pPr>
      <w:r>
        <w:rPr>
          <w:rFonts w:ascii="Open Sans" w:cs="Open Sans" w:eastAsia="Open Sans" w:hAnsi="Open Sans"/>
          <w:b/>
          <w:bCs/>
          <w:color w:val="006DB6"/>
          <w:sz w:val="27"/>
          <w:szCs w:val="27"/>
        </w:rPr>
        <w:t xml:space="preserve">The risk is real, current, and not hypothetical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CC0000"/>
                <w:sz w:val="44"/>
                <w:szCs w:val="44"/>
              </w:rPr>
              <w:t xml:space="preserve">$3.0B</w:t>
            </w:r>
          </w:p>
          <w:p>
            <w:pPr>
              <w:jc w:val="center"/>
            </w:pPr>
            <w:r>
              <w:rPr>
                <w:rFonts w:ascii="Open Sans" w:cs="Open Sans" w:eastAsia="Open Sans" w:hAnsi="Open Sans"/>
                <w:color w:val="59595B"/>
                <w:sz w:val="16"/>
                <w:szCs w:val="16"/>
              </w:rPr>
              <w:t xml:space="preserve">Reported BEC / wire-fraud losses (FBI IC3, 2025)</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4"/>
                <w:szCs w:val="44"/>
              </w:rPr>
              <w:t xml:space="preserve">#2</w:t>
            </w:r>
          </w:p>
          <w:p>
            <w:pPr>
              <w:jc w:val="center"/>
            </w:pPr>
            <w:r>
              <w:rPr>
                <w:rFonts w:ascii="Open Sans" w:cs="Open Sans" w:eastAsia="Open Sans" w:hAnsi="Open Sans"/>
                <w:color w:val="59595B"/>
                <w:sz w:val="16"/>
                <w:szCs w:val="16"/>
              </w:rPr>
              <w:t xml:space="preserve">Nonprofits: among the most-targeted sectors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4"/>
                <w:szCs w:val="44"/>
              </w:rPr>
              <w:t xml:space="preserve">68%</w:t>
            </w:r>
          </w:p>
          <w:p>
            <w:pPr>
              <w:jc w:val="center"/>
            </w:pPr>
            <w:r>
              <w:rPr>
                <w:rFonts w:ascii="Open Sans" w:cs="Open Sans" w:eastAsia="Open Sans" w:hAnsi="Open Sans"/>
                <w:color w:val="59595B"/>
                <w:sz w:val="16"/>
                <w:szCs w:val="16"/>
              </w:rPr>
              <w:t xml:space="preserve">of nonprofits lack a documented incident-response plan</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4"/>
                <w:szCs w:val="44"/>
              </w:rPr>
              <w:t xml:space="preserve">Jul 2025</w:t>
            </w:r>
          </w:p>
          <w:p>
            <w:pPr>
              <w:jc w:val="center"/>
            </w:pPr>
            <w:r>
              <w:rPr>
                <w:rFonts w:ascii="Open Sans" w:cs="Open Sans" w:eastAsia="Open Sans" w:hAnsi="Open Sans"/>
                <w:color w:val="59595B"/>
                <w:sz w:val="16"/>
                <w:szCs w:val="16"/>
              </w:rPr>
              <w:t xml:space="preserve">Microsoft ended free nonprofit M365 grants</w:t>
            </w:r>
          </w:p>
        </w:tc>
      </w:tr>
    </w:tbl>
    <w:p>
      <w:pPr>
        <w:keepNext/>
        <w:spacing w:after="0" w:before="15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Business email compromise — a criminal impersonating a leader, partner, or supplier to redirect a payment — is the single most costly category of cybercrime, with about $3.0 billion in reported U.S. losses in 2025 alone (FBI IC3). Nonprofits are now among the most-targeted and least-resourced sectors: industry research finds roughly </w:t>
      </w:r>
      <w:r>
        <w:rPr>
          <w:rFonts w:ascii="Open Sans" w:cs="Open Sans" w:eastAsia="Open Sans" w:hAnsi="Open Sans"/>
          <w:b/>
          <w:bCs/>
          <w:i w:val="false"/>
          <w:iCs w:val="false"/>
          <w:color w:val="1A1A2E"/>
          <w:sz w:val="22"/>
          <w:szCs w:val="22"/>
        </w:rPr>
        <w:t xml:space="preserve">two-thirds have no documented incident-response plan</w:t>
      </w:r>
      <w:r>
        <w:rPr>
          <w:rFonts w:ascii="Open Sans" w:cs="Open Sans" w:eastAsia="Open Sans" w:hAnsi="Open Sans"/>
          <w:b w:val="false"/>
          <w:bCs w:val="false"/>
          <w:i w:val="false"/>
          <w:iCs w:val="false"/>
          <w:color w:val="59595B"/>
          <w:sz w:val="22"/>
          <w:szCs w:val="22"/>
        </w:rPr>
        <w:t xml:space="preserve">, even as attacks on the sector rise. An organization that holds donor information, processes card donations, and coordinates large transfers with corporate partners — right after a $776,000 gift made national news — fits the exact profile attackers look for. None of this is cause for alarm; it is cause for a few well-placed controls.</w:t>
      </w:r>
    </w:p>
    <w:p>
      <w:pPr>
        <w:pStyle w:val="Heading2"/>
        <w:keepNext/>
        <w:keepLines/>
        <w:spacing w:after="130" w:before="300"/>
      </w:pPr>
      <w:r>
        <w:rPr>
          <w:rFonts w:ascii="Open Sans" w:cs="Open Sans" w:eastAsia="Open Sans" w:hAnsi="Open Sans"/>
          <w:b/>
          <w:bCs/>
          <w:color w:val="006DB6"/>
          <w:sz w:val="27"/>
          <w:szCs w:val="27"/>
        </w:rPr>
        <w:t xml:space="preserve">The readiness foundation — four practical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680"/>
        <w:gridCol w:w="2434"/>
      </w:tblGrid>
      <w:tr>
        <w:trPr>
          <w:tblHeader/>
        </w:trPr>
        <w:tc>
          <w:tcPr>
            <w:tcW w:type="dxa" w:w="2246"/>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Layer</w:t>
            </w:r>
          </w:p>
        </w:tc>
        <w:tc>
          <w:tcPr>
            <w:tcW w:type="dxa" w:w="468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protects, and why it matters here</w:t>
            </w:r>
          </w:p>
        </w:tc>
        <w:tc>
          <w:tcPr>
            <w:tcW w:type="dxa" w:w="2434"/>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Technijian service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Payment &amp; email fraud controls</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Email authentication plus a simple, enforced verification step for any payment or banking-detail change — so a publicized gift or a partner transfer cannot be hijacked by an impersonation email.</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Security</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Identity &amp; device security</w:t>
            </w:r>
          </w:p>
        </w:tc>
        <w:tc>
          <w:tcPr>
            <w:tcW w:type="dxa" w:w="468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Multi-factor authentication everywhere, endpoint protection, and least-privilege access for a 44-person team — the controls that stop the most common account-takeover and ransomware paths.</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Security</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Microsoft 365 grant-cliff migration</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Microsoft ended free nonprofit M365 grants in July 2025; many nonprofits are re-licensing now. We make that transition clean and correctly configured, with no security gaps opened in transit.</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Cloud</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Donor data &amp; payment hygiene</w:t>
            </w:r>
          </w:p>
        </w:tc>
        <w:tc>
          <w:tcPr>
            <w:tcW w:type="dxa" w:w="468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Map where donor personal information and card data actually live, who can reach them, and how gifts are processed — the groundwork a funder, an auditor, or a board will eventually ask about.</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Compliance</w:t>
            </w:r>
          </w:p>
        </w:tc>
      </w:tr>
    </w:tbl>
    <w:p>
      <w:pPr>
        <w:keepNext/>
        <w:spacing w:after="0" w:before="80"/>
      </w:pPr>
      <w:r>
        <w:t xml:space="preserve"/>
      </w:r>
    </w:p>
    <w:p>
      <w:pPr>
        <w:pStyle w:val="Heading2"/>
        <w:keepNext/>
        <w:keepLines/>
        <w:spacing w:after="130" w:before="300"/>
      </w:pPr>
      <w:r>
        <w:rPr>
          <w:rFonts w:ascii="Open Sans" w:cs="Open Sans" w:eastAsia="Open Sans" w:hAnsi="Open Sans"/>
          <w:b/>
          <w:bCs/>
          <w:color w:val="006DB6"/>
          <w:sz w:val="27"/>
          <w:szCs w:val="27"/>
        </w:rPr>
        <w:t xml:space="preserve">Start with one free assessment — Nexus Assess</w:t>
      </w:r>
    </w:p>
    <w:p>
      <w:pPr>
        <w:spacing w:after="120" w:before="0" w:line="320"/>
        <w:jc w:val="both"/>
      </w:pPr>
      <w:r>
        <w:rPr>
          <w:rFonts w:ascii="Open Sans" w:cs="Open Sans" w:eastAsia="Open Sans" w:hAnsi="Open Sans"/>
          <w:b/>
          <w:bCs/>
          <w:i w:val="false"/>
          <w:iCs w:val="false"/>
          <w:color w:val="1A1A2E"/>
          <w:sz w:val="22"/>
          <w:szCs w:val="22"/>
        </w:rPr>
        <w:t xml:space="preserve">Before any engagement, the honest first step is to see the real picture. </w:t>
      </w:r>
      <w:r>
        <w:rPr>
          <w:rFonts w:ascii="Open Sans" w:cs="Open Sans" w:eastAsia="Open Sans" w:hAnsi="Open Sans"/>
          <w:b w:val="false"/>
          <w:bCs w:val="false"/>
          <w:i w:val="false"/>
          <w:iCs w:val="false"/>
          <w:color w:val="59595B"/>
          <w:sz w:val="22"/>
          <w:szCs w:val="22"/>
        </w:rPr>
        <w:t xml:space="preserve">Technijian will run one free Nexus Assess — the same risk assessment we run for our managed clients — covering internal and external vulnerabilities, a dark-web check for exposed staff credentials, and a Microsoft 365 security review. It comes back as a prioritized, plain-language remediation roadmap mapped to recognized frameworks (such as PCI-DSS for card data, SOC 2, and NIST). No commitment, no cost — just a clear baseline you can act on with us or on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An honest word on compliance</w:t>
            </w:r>
          </w:p>
          <w:p>
            <w:pPr>
              <w:keepNext w:val="false"/>
              <w:keepLines/>
              <w:spacing w:after="60" w:before="40" w:line="300"/>
            </w:pPr>
            <w:r>
              <w:rPr>
                <w:rFonts w:ascii="Open Sans" w:cs="Open Sans" w:eastAsia="Open Sans" w:hAnsi="Open Sans"/>
                <w:color w:val="59595B"/>
                <w:sz w:val="20"/>
                <w:szCs w:val="20"/>
              </w:rPr>
              <w:t xml:space="preserve">Whether specific regimes apply to Shoes That Fit — for example PCI-DSS scope for card donations, or state privacy laws for donor data — depends on how gifts are actually processed and where data is stored, which we cannot see from the outside. We will not assert a compliance obligation we have not confirmed. What we can say plainly: the controls above are good practice for any organization holding donor and payment data, and the free assessment is the fastest way to know exactly where you stand.</w:t>
            </w:r>
          </w:p>
        </w:tc>
      </w:tr>
    </w:tbl>
    <w:p>
      <w:pPr>
        <w:pStyle w:val="Heading1"/>
        <w:keepNext/>
        <w:pageBreakBefore/>
        <w:spacing w:after="120" w:before="0" w:line="240"/>
      </w:pPr>
      <w:r>
        <w:rPr>
          <w:rFonts w:ascii="Open Sans" w:cs="Open Sans" w:eastAsia="Open Sans" w:hAnsi="Open Sans"/>
          <w:color w:val="FFFFFF"/>
          <w:sz w:val="2"/>
          <w:szCs w:val="2"/>
        </w:rPr>
        <w:t xml:space="preserve">05  Where Growth &amp; Capacity Live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05  Where Growth &amp; Capacity Live</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With the foundation protected, the growth front comes into focus. For a mission like this, "growth" is not a single sales funnel — it is four levers, and AI supports each one while keeping people at the center of every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4492"/>
        <w:gridCol w:w="2435"/>
      </w:tblGrid>
      <w:tr>
        <w:trPr>
          <w:tblHeader/>
        </w:trPr>
        <w:tc>
          <w:tcPr>
            <w:tcW w:type="dxa" w:w="2433"/>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Lever</w:t>
            </w:r>
          </w:p>
        </w:tc>
        <w:tc>
          <w:tcPr>
            <w:tcW w:type="dxa" w:w="4492"/>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looks like for Shoes That Fit</w:t>
            </w:r>
          </w:p>
        </w:tc>
        <w:tc>
          <w:tcPr>
            <w:tcW w:type="dxa" w:w="243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Front</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Grow the partner engine</w:t>
            </w:r>
          </w:p>
        </w:tc>
        <w:tc>
          <w:tcPr>
            <w:tcW w:type="dxa" w:w="449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Find look-alike corporate and foundation prospects, spot renewal risk early, and deliver the per-partner impact reports that secure the next year’s gift.</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Raise more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Win more grants</w:t>
            </w:r>
          </w:p>
        </w:tc>
        <w:tc>
          <w:tcPr>
            <w:tcW w:type="dxa" w:w="449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Match the right funders and draft faster, so limited staff time goes to the funder-specific case for support, not the boilerplate.</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Raise more</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F67D4B"/>
                <w:sz w:val="19"/>
                <w:szCs w:val="19"/>
              </w:rPr>
              <w:t xml:space="preserve">Reach &amp; re-engage donors</w:t>
            </w:r>
          </w:p>
        </w:tc>
        <w:tc>
          <w:tcPr>
            <w:tcW w:type="dxa" w:w="449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Segment the donor base, re-engage lapsed and mid-tier givers, and personalize appeals in English and Spanish at a scale a small team cannot reach by hand.</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Reach more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F67D4B"/>
                <w:sz w:val="19"/>
                <w:szCs w:val="19"/>
              </w:rPr>
              <w:t xml:space="preserve">Recover staff time</w:t>
            </w:r>
          </w:p>
        </w:tc>
        <w:tc>
          <w:tcPr>
            <w:tcW w:type="dxa" w:w="449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Automate school intake, logistics coordination, reporting, and routine admin so hours return to partners, schools, and children.</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Reach more</w:t>
            </w:r>
          </w:p>
        </w:tc>
      </w:tr>
    </w:tbl>
    <w:p>
      <w:pPr>
        <w:keepNext/>
        <w:spacing w:after="0" w:before="8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The first two levers grow the resources that fund the mission; the second two extend reach and give a small team back its time. None of them asks Shoes That Fit to be a different organization — they ask only that the work it already does be funded, sustained, and reported more fully.</w:t>
      </w:r>
    </w:p>
    <w:p>
      <w:pPr>
        <w:pStyle w:val="Heading1"/>
        <w:keepNext/>
        <w:pageBreakBefore/>
        <w:spacing w:after="120" w:before="0" w:line="240"/>
      </w:pPr>
      <w:r>
        <w:rPr>
          <w:rFonts w:ascii="Open Sans" w:cs="Open Sans" w:eastAsia="Open Sans" w:hAnsi="Open Sans"/>
          <w:color w:val="FFFFFF"/>
          <w:sz w:val="2"/>
          <w:szCs w:val="2"/>
        </w:rPr>
        <w:t xml:space="preserve">06  The Supporter &amp; Partner Relationships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The Supporter &amp; Partner Relationships</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Shoes That Fit depends on a portfolio of relationships, and its strongest is the corporate-partnership engine led from External Affairs. The map below places the supporter archetypes by giving capacity and engagement depth — archetypes to calibrate against your real data at discovery, not named accounts. The children served are the purpose of the work, never a fundraising segment.</w:t>
      </w:r>
    </w:p>
    <w:p>
      <w:pPr>
        <w:keepNext/>
        <w:spacing w:after="60" w:before="120"/>
        <w:jc w:val="center"/>
      </w:pPr>
      <w:r>
        <w:drawing>
          <wp:inline distT="0" distB="0" distL="0" distR="0">
            <wp:extent cx="5334000" cy="3581400"/>
            <wp:effectExtent t="0" r="0" b="0" l="0"/>
            <wp:docPr id="1" name="Supporter and partner map" descr="Supporter and partner map" title="Supporter and partne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81400"/>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06.0 — Supporter and partner archetypes by giving capacity and engagement. Bubble size approximates relative revenue weight; calibrate at discovery. The children served are the mission, not a segment to monetize.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556"/>
        <w:gridCol w:w="3371"/>
      </w:tblGrid>
      <w:tr>
        <w:trPr>
          <w:tblHeader/>
        </w:trPr>
        <w:tc>
          <w:tcPr>
            <w:tcW w:type="dxa" w:w="2433"/>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Relationship</w:t>
            </w:r>
          </w:p>
        </w:tc>
        <w:tc>
          <w:tcPr>
            <w:tcW w:type="dxa" w:w="3556"/>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they need</w:t>
            </w:r>
          </w:p>
        </w:tc>
        <w:tc>
          <w:tcPr>
            <w:tcW w:type="dxa" w:w="3371"/>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How AI helps Shoes That Fit serve them</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F67D4B"/>
                <w:sz w:val="19"/>
                <w:szCs w:val="19"/>
              </w:rPr>
              <w:t xml:space="preserve">Corporate &amp; celebrity partners</w:t>
            </w:r>
          </w:p>
        </w:tc>
        <w:tc>
          <w:tcPr>
            <w:tcW w:type="dxa" w:w="355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real relationship and proof of impact worth renewing and expanding.</w:t>
            </w:r>
          </w:p>
        </w:tc>
        <w:tc>
          <w:tcPr>
            <w:tcW w:type="dxa" w:w="337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Look-alike prospecting, renewal-risk signals, and automated per-partner impact reports.</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EAAC8"/>
                <w:sz w:val="19"/>
                <w:szCs w:val="19"/>
              </w:rPr>
              <w:t xml:space="preserve">Foundations &amp; grantmakers</w:t>
            </w:r>
          </w:p>
        </w:tc>
        <w:tc>
          <w:tcPr>
            <w:tcW w:type="dxa" w:w="355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strong fit, a credible case, and clean reporting.</w:t>
            </w:r>
          </w:p>
        </w:tc>
        <w:tc>
          <w:tcPr>
            <w:tcW w:type="dxa" w:w="3371"/>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Funder matching; faster drafts; consistent outcome reports.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Major-gift &amp; legacy donors</w:t>
            </w:r>
          </w:p>
        </w:tc>
        <w:tc>
          <w:tcPr>
            <w:tcW w:type="dxa" w:w="355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personal relationship and a clear picture of impact.</w:t>
            </w:r>
          </w:p>
        </w:tc>
        <w:tc>
          <w:tcPr>
            <w:tcW w:type="dxa" w:w="337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Prospect research and pre-meeting briefs; staff own every conversation.</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28A745"/>
                <w:sz w:val="19"/>
                <w:szCs w:val="19"/>
              </w:rPr>
              <w:t xml:space="preserve">Community sponsors</w:t>
            </w:r>
          </w:p>
        </w:tc>
        <w:tc>
          <w:tcPr>
            <w:tcW w:type="dxa" w:w="355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simple way to adopt a school and see the result.</w:t>
            </w:r>
          </w:p>
        </w:tc>
        <w:tc>
          <w:tcPr>
            <w:tcW w:type="dxa" w:w="3371"/>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Self-serve sign-up; automated matching and thank-you stories.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28A745"/>
                <w:sz w:val="19"/>
                <w:szCs w:val="19"/>
              </w:rPr>
              <w:t xml:space="preserve">Individual &amp; recurring donors</w:t>
            </w:r>
          </w:p>
        </w:tc>
        <w:tc>
          <w:tcPr>
            <w:tcW w:type="dxa" w:w="355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Easy giving and steady, meaningful updates.</w:t>
            </w:r>
          </w:p>
        </w:tc>
        <w:tc>
          <w:tcPr>
            <w:tcW w:type="dxa" w:w="337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Segmented, personalized, bilingual stewardship.</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A1A2E"/>
                <w:sz w:val="19"/>
                <w:szCs w:val="19"/>
              </w:rPr>
              <w:t xml:space="preserve">Lapsed &amp; mid-tier donors</w:t>
            </w:r>
          </w:p>
        </w:tc>
        <w:tc>
          <w:tcPr>
            <w:tcW w:type="dxa" w:w="355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reason to return and to be remembered.</w:t>
            </w:r>
          </w:p>
        </w:tc>
        <w:tc>
          <w:tcPr>
            <w:tcW w:type="dxa" w:w="3371"/>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Re-engagement scoring and tailored win-back appeals.</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Honest framing</w:t>
            </w:r>
          </w:p>
          <w:p>
            <w:pPr>
              <w:keepNext w:val="false"/>
              <w:keepLines/>
              <w:spacing w:after="60" w:before="40" w:line="300"/>
            </w:pPr>
            <w:r>
              <w:rPr>
                <w:rFonts w:ascii="Open Sans" w:cs="Open Sans" w:eastAsia="Open Sans" w:hAnsi="Open Sans"/>
                <w:color w:val="59595B"/>
                <w:sz w:val="20"/>
                <w:szCs w:val="20"/>
              </w:rPr>
              <w:t xml:space="preserve">These are research-based archetypes, not your donor file. Which segments matter most — by revenue, by growth potential, by mission fit — is a discovery question. We would rather build the plan around your real supporters and partners than around our assumptions about them.</w:t>
            </w:r>
          </w:p>
        </w:tc>
      </w:tr>
    </w:tbl>
    <w:p>
      <w:pPr>
        <w:pStyle w:val="Heading1"/>
        <w:keepNext/>
        <w:pageBreakBefore/>
        <w:spacing w:after="120" w:before="0" w:line="240"/>
      </w:pPr>
      <w:r>
        <w:rPr>
          <w:rFonts w:ascii="Open Sans" w:cs="Open Sans" w:eastAsia="Open Sans" w:hAnsi="Open Sans"/>
          <w:color w:val="FFFFFF"/>
          <w:sz w:val="2"/>
          <w:szCs w:val="2"/>
        </w:rPr>
        <w:t xml:space="preserve">07  The Funding &amp; Visibility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07  The Funding &amp; Visibility Landscape</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Shoes That Fit does not compete for customers — but it does compete for attention: for the same corporate CSR budgets, foundation dollars, major donors, and the visibility that brings new sponsors. The throughline below is digital and AI maturity in fundraising, because that, not mission quality or brand trust, is the open lane.</w:t>
      </w:r>
    </w:p>
    <w:p>
      <w:pPr>
        <w:keepNext/>
        <w:spacing w:after="60" w:before="120"/>
        <w:jc w:val="center"/>
      </w:pPr>
      <w:r>
        <w:drawing>
          <wp:inline distT="0" distB="0" distL="0" distR="0">
            <wp:extent cx="5334000" cy="3581400"/>
            <wp:effectExtent t="0" r="0" b="0" l="0"/>
            <wp:docPr id="1" name="Funding and visibility landscape" descr="Funding and visibility landscape" title="Funding and visibility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81400"/>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07.0 — A strategic assessment, not a measured score, and a discovery item rather than a verified peer set. The open corner pairs a trusted national brand with AI-enabled partner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82"/>
        <w:gridCol w:w="3370"/>
      </w:tblGrid>
      <w:tr>
        <w:trPr>
          <w:tblHeader/>
        </w:trPr>
        <w:tc>
          <w:tcPr>
            <w:tcW w:type="dxa" w:w="2808"/>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Who competes for the same support</w:t>
            </w:r>
          </w:p>
        </w:tc>
        <w:tc>
          <w:tcPr>
            <w:tcW w:type="dxa" w:w="3182"/>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Examples</w:t>
            </w:r>
          </w:p>
        </w:tc>
        <w:tc>
          <w:tcPr>
            <w:tcW w:type="dxa" w:w="337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Digital / AI posture (general read)</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Large national children’s charities</w:t>
            </w:r>
          </w:p>
        </w:tc>
        <w:tc>
          <w:tcPr>
            <w:tcW w:type="dxa" w:w="318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Well-funded national brands with full development departments</w:t>
            </w:r>
          </w:p>
        </w:tc>
        <w:tc>
          <w:tcPr>
            <w:tcW w:type="dxa" w:w="337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High visibility and professional fundraising; AI adoption uneven but resourced.</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Peer back-to-school / shoe nonprofits</w:t>
            </w:r>
          </w:p>
        </w:tc>
        <w:tc>
          <w:tcPr>
            <w:tcW w:type="dxa" w:w="318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Comparable basic-needs and footwear-focused nonprofits</w:t>
            </w:r>
          </w:p>
        </w:tc>
        <w:tc>
          <w:tcPr>
            <w:tcW w:type="dxa" w:w="337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Closest peers for corporate CSR and major gifts; most have not yet adopted AI in fundraising.</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CSR &amp; giving directories / portals</w:t>
            </w:r>
          </w:p>
        </w:tc>
        <w:tc>
          <w:tcPr>
            <w:tcW w:type="dxa" w:w="318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Corporate-giving platforms and donation aggregators</w:t>
            </w:r>
          </w:p>
        </w:tc>
        <w:tc>
          <w:tcPr>
            <w:tcW w:type="dxa" w:w="337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Often out-rank individual nonprofits for "where to give" and CSR searches — new partners can leak to them.</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white space — and an honest caveat</w:t>
            </w:r>
          </w:p>
          <w:p>
            <w:pPr>
              <w:keepNext/>
              <w:keepLines/>
              <w:spacing w:after="60" w:before="40" w:line="300"/>
            </w:pPr>
            <w:r>
              <w:rPr>
                <w:rFonts w:ascii="Open Sans" w:cs="Open Sans" w:eastAsia="Open Sans" w:hAnsi="Open Sans"/>
                <w:color w:val="59595B"/>
                <w:sz w:val="20"/>
                <w:szCs w:val="20"/>
              </w:rPr>
              <w:t xml:space="preserve">Few nonprofits have brought AI into corporate-partner growth and storytelling, and fewer still make their impact AI-citable and search-visible for the CSR teams deciding where to give. An organization that pairs a genuinely trusted national brand with AI-enabled partner growth would stand in a corner few peers occupy — found when a corporate giving team searches, and credible when they arrive.</w:t>
            </w:r>
          </w:p>
          <w:p>
            <w:pPr>
              <w:keepNext w:val="false"/>
              <w:keepLines/>
              <w:spacing w:after="60" w:before="40" w:line="300"/>
            </w:pPr>
            <w:r>
              <w:rPr>
                <w:rFonts w:ascii="Open Sans" w:cs="Open Sans" w:eastAsia="Open Sans" w:hAnsi="Open Sans"/>
                <w:color w:val="59595B"/>
                <w:sz w:val="20"/>
                <w:szCs w:val="20"/>
              </w:rPr>
              <w:t xml:space="preserve">The caveat: a rigorous peer map (which children’s nonprofits chase the same corporate and foundation dollars, and where Shoes That Fit wins or loses) was not built from public data in this pass. We would rather research it properly with you than assert it — it is a discovery deliverable.</w:t>
            </w:r>
          </w:p>
        </w:tc>
      </w:tr>
    </w:tbl>
    <w:p>
      <w:pPr>
        <w:pStyle w:val="Heading1"/>
        <w:keepNext/>
        <w:pageBreakBefore/>
        <w:spacing w:after="120" w:before="0" w:line="240"/>
      </w:pPr>
      <w:r>
        <w:rPr>
          <w:rFonts w:ascii="Open Sans" w:cs="Open Sans" w:eastAsia="Open Sans" w:hAnsi="Open Sans"/>
          <w:color w:val="FFFFFF"/>
          <w:sz w:val="2"/>
          <w:szCs w:val="2"/>
        </w:rPr>
        <w:t xml:space="preserve">08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08  Brand &amp; Digital Presence Audit</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A factual read of Shoes That Fit’s public digital footprint as observed in June 2026. The point is not criticism — the brand is strong and the storytelling is active. It is that the gap between a trusted national brand and an AI-ready, search-visible presence is itself the growth opportunity. Where a number was not directly visible to us, we say so rather than guess.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867"/>
        <w:gridCol w:w="2434"/>
      </w:tblGrid>
      <w:tr>
        <w:trPr>
          <w:tblHeader/>
        </w:trPr>
        <w:tc>
          <w:tcPr>
            <w:tcW w:type="dxa" w:w="2059"/>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Asset</w:t>
            </w:r>
          </w:p>
        </w:tc>
        <w:tc>
          <w:tcPr>
            <w:tcW w:type="dxa" w:w="4867"/>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we observed</w:t>
            </w:r>
          </w:p>
        </w:tc>
        <w:tc>
          <w:tcPr>
            <w:tcW w:type="dxa" w:w="2434"/>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Opportunity</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Website</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clear, well-organized site with a strong mission story, prominent Donate calls to action, a self-serve community-fundraiser builder, and corporate-partner and legacy-giving paths.</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strong base to build on.</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Impact storytelling</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An active news/impact section with frequent, well-written posts (board news, the new Shoe Bank, partner stories, all-star events).</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Make stories AI-citable and search-visible.</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LinkedIn</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About 2,084 followers and 44 employees on the company page (directly verified) — a credible base for a national org, with room to convert reach into corporate relationships.</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Turn reach into CSR relationships.</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Other social</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Active presence on Instagram, Facebook, and other channels (linked from the site). We did not independently verify follower counts, so we report none — a discovery item.</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Convert reach into recurring gifts.</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CC0000"/>
                <w:sz w:val="19"/>
                <w:szCs w:val="19"/>
              </w:rPr>
              <w:t xml:space="preserve">Search / AEO</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brand name ranks, but "back-to-school shoe drive," "corporate giving," and similar high-intent CSR searches are an open field where directories and large charities can absorb the demand.</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 the cited answer where CSR teams look.</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Bilingual reach</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national footprint includes many heavily Hispanic communities; Spanish-language donor and school pages would extend reach.</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Reach more families and sponsors.</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Giving / data platforms</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site supports online and self-serve giving; the underlying donor, CRM, and payment platforms are not publicly disclosed.</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Confirm and unify at discovery.</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The most important finding</w:t>
            </w:r>
          </w:p>
          <w:p>
            <w:pPr>
              <w:keepNext w:val="false"/>
              <w:keepLines/>
              <w:spacing w:after="60" w:before="40" w:line="300"/>
            </w:pPr>
            <w:r>
              <w:rPr>
                <w:rFonts w:ascii="Open Sans" w:cs="Open Sans" w:eastAsia="Open Sans" w:hAnsi="Open Sans"/>
                <w:color w:val="59595B"/>
                <w:sz w:val="20"/>
                <w:szCs w:val="20"/>
              </w:rPr>
              <w:t xml:space="preserve">The brand is trusted and the stories are being told — but they are not yet built to be found and cited by the AI assistants and search tools that corporate giving teams, grantmakers, and donors increasingly use. Closing that gap is low-cost, high-impact, and the natural complement to the partner-growth engine in Section 11.</w:t>
            </w:r>
          </w:p>
        </w:tc>
      </w:tr>
    </w:tbl>
    <w:p>
      <w:pPr>
        <w:pStyle w:val="Heading1"/>
        <w:keepNext/>
        <w:pageBreakBefore/>
        <w:spacing w:after="120" w:before="0" w:line="240"/>
      </w:pPr>
      <w:r>
        <w:rPr>
          <w:rFonts w:ascii="Open Sans" w:cs="Open Sans" w:eastAsia="Open Sans" w:hAnsi="Open Sans"/>
          <w:color w:val="FFFFFF"/>
          <w:sz w:val="2"/>
          <w:szCs w:val="2"/>
        </w:rPr>
        <w:t xml:space="preserve">09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Technijian Capability Proof</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Before the plan, the proof. The builds below are real Technijian capabilities; each is mapped to a specific Shoes That Fit use case across both fronts — protect and grow. Where a build is described by an industry profile rather than a named client, it is scope and effort only — no invented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Proven build: Security &amp; Risk Assessment (Nexus Assess + Pulse)</w:t>
            </w:r>
          </w:p>
          <w:p>
            <w:pPr>
              <w:keepNext w:val="false"/>
              <w:keepLines/>
              <w:spacing w:after="60" w:before="40" w:line="300"/>
            </w:pPr>
            <w:r>
              <w:rPr>
                <w:rFonts w:ascii="Open Sans" w:cs="Open Sans" w:eastAsia="Open Sans" w:hAnsi="Open Sans"/>
                <w:color w:val="59595B"/>
                <w:sz w:val="20"/>
                <w:szCs w:val="20"/>
              </w:rPr>
              <w:t xml:space="preserve">What we built: a unified IT-risk and AI-penetration-testing platform — internal and external vulnerability scanning, dark-web credential monitoring, Microsoft 365 review, and compliance mapping (PCI-DSS, SOC 2, NIST). How it applies: the free baseline assessment that opens this engagement, plus the controls that protect a record gift, donor data, and partner transfers from fraud.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Proven build: AI Document Intelligence</w:t>
            </w:r>
          </w:p>
          <w:p>
            <w:pPr>
              <w:keepNext w:val="false"/>
              <w:keepLines/>
              <w:spacing w:after="60" w:before="40" w:line="300"/>
            </w:pPr>
            <w:r>
              <w:rPr>
                <w:rFonts w:ascii="Open Sans" w:cs="Open Sans" w:eastAsia="Open Sans" w:hAnsi="Open Sans"/>
                <w:color w:val="59595B"/>
                <w:sz w:val="20"/>
                <w:szCs w:val="20"/>
              </w:rPr>
              <w:t xml:space="preserve">What we built: an AI pipeline that turns dense, repetitive documents into structured data and drafted output — deployed for a regulated financial firm’s compliance workflows. How it applies: first drafts of grant narratives and per-partner impact reports from your vetted facts and outcomes, so staff edit rather than start from a blank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Proven build: Multi-Agent SEO + AEO Platform</w:t>
            </w:r>
          </w:p>
          <w:p>
            <w:pPr>
              <w:keepNext w:val="false"/>
              <w:keepLines/>
              <w:spacing w:after="60" w:before="40" w:line="300"/>
            </w:pPr>
            <w:r>
              <w:rPr>
                <w:rFonts w:ascii="Open Sans" w:cs="Open Sans" w:eastAsia="Open Sans" w:hAnsi="Open Sans"/>
                <w:color w:val="59595B"/>
                <w:sz w:val="20"/>
                <w:szCs w:val="20"/>
              </w:rPr>
              <w:t xml:space="preserve">What we built: a multi-model platform (Claude, GPT, Gemini with search and analytics tools) that produces and optimizes authority content and tracks whether AI assistants cite it. How it applies: a story-and-impact engine that makes Shoes That Fit the answer when a corporate giving team or donor searches — and helps qualify and run a free Google Ad Grant.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Proven build: LLM Council (multi-model peer review)</w:t>
            </w:r>
          </w:p>
          <w:p>
            <w:pPr>
              <w:keepNext w:val="false"/>
              <w:keepLines/>
              <w:spacing w:after="60" w:before="40" w:line="300"/>
            </w:pPr>
            <w:r>
              <w:rPr>
                <w:rFonts w:ascii="Open Sans" w:cs="Open Sans" w:eastAsia="Open Sans" w:hAnsi="Open Sans"/>
                <w:color w:val="59595B"/>
                <w:sz w:val="20"/>
                <w:szCs w:val="20"/>
              </w:rPr>
              <w:t xml:space="preserve">What we built: a pattern in which several models independently review the same output and reconcile it (our ScamShield system). How it applies: a fact-check pass on grant claims and partner reports, where a single confident error is unacceptable — a second set of eyes before a person signs 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Proven build: Knowledge Graph + Custom Development</w:t>
            </w:r>
          </w:p>
          <w:p>
            <w:pPr>
              <w:keepNext w:val="false"/>
              <w:keepLines/>
              <w:spacing w:after="60" w:before="40" w:line="300"/>
            </w:pPr>
            <w:r>
              <w:rPr>
                <w:rFonts w:ascii="Open Sans" w:cs="Open Sans" w:eastAsia="Open Sans" w:hAnsi="Open Sans"/>
                <w:color w:val="59595B"/>
                <w:sz w:val="20"/>
                <w:szCs w:val="20"/>
              </w:rPr>
              <w:t xml:space="preserve">What we built: knowledge systems and an AI-native software practice that delivers builds far faster than traditional development. How it applies: school-intake and Shoe-Bank logistics automation, plus one unified view of each supporter across your systems — and a searchable institutional memory so a 30-year history is an asset, not a pile of inboxes.</w:t>
            </w:r>
          </w:p>
        </w:tc>
      </w:tr>
    </w:tbl>
    <w:p>
      <w:pPr>
        <w:pStyle w:val="Heading2"/>
        <w:keepNext/>
        <w:keepLines/>
        <w:spacing w:after="130" w:before="300"/>
      </w:pPr>
      <w:r>
        <w:rPr>
          <w:rFonts w:ascii="Open Sans" w:cs="Open Sans" w:eastAsia="Open Sans" w:hAnsi="Open Sans"/>
          <w:b/>
          <w:bCs/>
          <w:color w:val="006DB6"/>
          <w:sz w:val="27"/>
          <w:szCs w:val="27"/>
        </w:rPr>
        <w:t xml:space="preserve">"Can a nonprofit our size afford this?" — the multi-model discipline</w:t>
      </w:r>
    </w:p>
    <w:p>
      <w:pPr>
        <w:spacing w:after="120" w:before="0" w:line="320"/>
        <w:jc w:val="both"/>
      </w:pPr>
      <w:r>
        <w:rPr>
          <w:rFonts w:ascii="Open Sans" w:cs="Open Sans" w:eastAsia="Open Sans" w:hAnsi="Open Sans"/>
          <w:b w:val="false"/>
          <w:bCs w:val="false"/>
          <w:i w:val="false"/>
          <w:iCs w:val="false"/>
          <w:color w:val="59595B"/>
          <w:sz w:val="22"/>
          <w:szCs w:val="22"/>
        </w:rPr>
        <w:t xml:space="preserve">A fair question for a lean budget. Technijian does not wire every task to one expensive model. We run a routed, multi-model platform and send each sub-task to the most cost-effective model that does it well: lightweight models for high-volume work, mid-tier models for drafting, and frontier models only for the small slice that needs deep judgment. In practice that runs well below the cost of routing everything to one premium tool. Just as important for an organization like yours, much of the surrounding stack — a Google Ad Grant, nonprofit-priced Microsoft tools — is free or discounted to 501(c)(3) organizations, which keeps the real out-of-pocket cost modest.</w:t>
      </w:r>
    </w:p>
    <w:p>
      <w:pPr>
        <w:pStyle w:val="Heading1"/>
        <w:keepNext/>
        <w:pageBreakBefore/>
        <w:spacing w:after="120" w:before="0" w:line="240"/>
      </w:pPr>
      <w:r>
        <w:rPr>
          <w:rFonts w:ascii="Open Sans" w:cs="Open Sans" w:eastAsia="Open Sans" w:hAnsi="Open Sans"/>
          <w:color w:val="FFFFFF"/>
          <w:sz w:val="2"/>
          <w:szCs w:val="2"/>
        </w:rPr>
        <w:t xml:space="preserve">10  Understanding AI — A Field Guide for Leadership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Understanding AI — A Field Guide for Leadership</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A short, impartial primer so the conversation rests on shared ground. Each point is anchored to an independent framework, not a sales claim — and the guardrails are written for an organization that holds donor data and serves children.</w:t>
      </w:r>
    </w:p>
    <w:p>
      <w:pPr>
        <w:pStyle w:val="Heading3"/>
        <w:keepNext/>
        <w:spacing w:after="90" w:before="220"/>
      </w:pPr>
      <w:r>
        <w:rPr>
          <w:rFonts w:ascii="Open Sans" w:cs="Open Sans" w:eastAsia="Open Sans" w:hAnsi="Open Sans"/>
          <w:b/>
          <w:bCs/>
          <w:color w:val="1A1A2E"/>
          <w:sz w:val="24"/>
          <w:szCs w:val="24"/>
        </w:rPr>
        <w:t xml:space="preserve">What AI is — and the distinction that matters</w:t>
      </w:r>
    </w:p>
    <w:p>
      <w:pPr>
        <w:spacing w:after="120" w:before="0" w:line="320"/>
        <w:jc w:val="both"/>
      </w:pPr>
      <w:r>
        <w:rPr>
          <w:rFonts w:ascii="Open Sans" w:cs="Open Sans" w:eastAsia="Open Sans" w:hAnsi="Open Sans"/>
          <w:b w:val="false"/>
          <w:bCs w:val="false"/>
          <w:i w:val="false"/>
          <w:iCs w:val="false"/>
          <w:color w:val="59595B"/>
          <w:sz w:val="22"/>
          <w:szCs w:val="22"/>
        </w:rPr>
        <w:t xml:space="preserve">You need to know what AI can and cannot do, not how to build it. The most useful distinction is between </w:t>
      </w:r>
      <w:r>
        <w:rPr>
          <w:rFonts w:ascii="Open Sans" w:cs="Open Sans" w:eastAsia="Open Sans" w:hAnsi="Open Sans"/>
          <w:b/>
          <w:bCs/>
          <w:i w:val="false"/>
          <w:iCs w:val="false"/>
          <w:color w:val="1A1A2E"/>
          <w:sz w:val="22"/>
          <w:szCs w:val="22"/>
        </w:rPr>
        <w:t xml:space="preserve">workflows</w:t>
      </w:r>
      <w:r>
        <w:rPr>
          <w:rFonts w:ascii="Open Sans" w:cs="Open Sans" w:eastAsia="Open Sans" w:hAnsi="Open Sans"/>
          <w:b w:val="false"/>
          <w:bCs w:val="false"/>
          <w:i w:val="false"/>
          <w:iCs w:val="false"/>
          <w:color w:val="59595B"/>
          <w:sz w:val="22"/>
          <w:szCs w:val="22"/>
        </w:rPr>
        <w:t xml:space="preserve"> (AI follows a fixed path — predictable and low-risk, e.g. "draft a thank-you from these gift details") and </w:t>
      </w:r>
      <w:r>
        <w:rPr>
          <w:rFonts w:ascii="Open Sans" w:cs="Open Sans" w:eastAsia="Open Sans" w:hAnsi="Open Sans"/>
          <w:b/>
          <w:bCs/>
          <w:i w:val="false"/>
          <w:iCs w:val="false"/>
          <w:color w:val="1A1A2E"/>
          <w:sz w:val="22"/>
          <w:szCs w:val="22"/>
        </w:rPr>
        <w:t xml:space="preserve">agents</w:t>
      </w:r>
      <w:r>
        <w:rPr>
          <w:rFonts w:ascii="Open Sans" w:cs="Open Sans" w:eastAsia="Open Sans" w:hAnsi="Open Sans"/>
          <w:b w:val="false"/>
          <w:bCs w:val="false"/>
          <w:i w:val="false"/>
          <w:iCs w:val="false"/>
          <w:color w:val="59595B"/>
          <w:sz w:val="22"/>
          <w:szCs w:val="22"/>
        </w:rPr>
        <w:t xml:space="preserve"> (AI decides the steps — flexible, needs oversight). The principle is to use the simplest thing that works: start with drafting and research automations that pay off fast, and add autonomy only where it earns its keep.</w:t>
      </w:r>
    </w:p>
    <w:p>
      <w:pPr>
        <w:pStyle w:val="Heading3"/>
        <w:keepNext/>
        <w:spacing w:after="90" w:before="220"/>
      </w:pPr>
      <w:r>
        <w:rPr>
          <w:rFonts w:ascii="Open Sans" w:cs="Open Sans" w:eastAsia="Open Sans" w:hAnsi="Open Sans"/>
          <w:b/>
          <w:bCs/>
          <w:color w:val="1A1A2E"/>
          <w:sz w:val="24"/>
          <w:szCs w:val="24"/>
        </w:rPr>
        <w:t xml:space="preserve">Where Shoes That Fit sits today — the maturity ladder</w:t>
      </w:r>
    </w:p>
    <w:p>
      <w:pPr>
        <w:spacing w:after="120" w:before="0" w:line="320"/>
        <w:jc w:val="both"/>
      </w:pPr>
      <w:r>
        <w:rPr>
          <w:rFonts w:ascii="Open Sans" w:cs="Open Sans" w:eastAsia="Open Sans" w:hAnsi="Open Sans"/>
          <w:b w:val="false"/>
          <w:bCs w:val="false"/>
          <w:i w:val="false"/>
          <w:iCs w:val="false"/>
          <w:color w:val="59595B"/>
          <w:sz w:val="22"/>
          <w:szCs w:val="22"/>
        </w:rPr>
        <w:t xml:space="preserve">Most established nonprofits sit on the first one or two rungs of a widely-used five-stage AI maturity model (consistent with Gartner and Google Cloud frameworks): aware of AI, experimenting informally, but without a strategy, a policy, or operational deployment. The leaders are one or two rungs up, and the gap closes in months, not years. This engagement is about moving Shoes That Fit up two rungs deliberately and safely — not buying a product.</w:t>
      </w:r>
    </w:p>
    <w:p>
      <w:pPr>
        <w:pStyle w:val="Heading3"/>
        <w:keepNext/>
        <w:spacing w:after="90" w:before="220"/>
      </w:pPr>
      <w:r>
        <w:rPr>
          <w:rFonts w:ascii="Open Sans" w:cs="Open Sans" w:eastAsia="Open Sans" w:hAnsi="Open Sans"/>
          <w:b/>
          <w:bCs/>
          <w:color w:val="1A1A2E"/>
          <w:sz w:val="24"/>
          <w:szCs w:val="24"/>
        </w:rPr>
        <w:t xml:space="preserve">Adopting AI responsibly — the guardrails for this mission</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Hallucination control — every funder claim must be true. </w:t>
      </w:r>
      <w:r>
        <w:rPr>
          <w:rFonts w:ascii="Open Sans" w:cs="Open Sans" w:eastAsia="Open Sans" w:hAnsi="Open Sans"/>
          <w:b w:val="false"/>
          <w:bCs w:val="false"/>
          <w:i w:val="false"/>
          <w:iCs w:val="false"/>
          <w:color w:val="59595B"/>
          <w:sz w:val="22"/>
          <w:szCs w:val="22"/>
        </w:rPr>
        <w:t xml:space="preserve">AI produces a fluent answer, not necessarily a correct one. The rule: AI drafts; a human verifies every number, name, and outcome before anything goes to a partner or funder. One fabricated statistic in a report can end a relationship.</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Data protection — never put donor or child data into public AI. </w:t>
      </w:r>
      <w:r>
        <w:rPr>
          <w:rFonts w:ascii="Open Sans" w:cs="Open Sans" w:eastAsia="Open Sans" w:hAnsi="Open Sans"/>
          <w:b w:val="false"/>
          <w:bCs w:val="false"/>
          <w:i w:val="false"/>
          <w:iCs w:val="false"/>
          <w:color w:val="59595B"/>
          <w:sz w:val="22"/>
          <w:szCs w:val="22"/>
        </w:rPr>
        <w:t xml:space="preserve">Donor records and any information about the children served carry real duties. The rule: no donor personal information or child data goes into consumer AI tools; we use private, governed deployments with no-training terms and de-identified data. This is where the security front and the AI front meet.</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The human owns the relationship. </w:t>
      </w:r>
      <w:r>
        <w:rPr>
          <w:rFonts w:ascii="Open Sans" w:cs="Open Sans" w:eastAsia="Open Sans" w:hAnsi="Open Sans"/>
          <w:b w:val="false"/>
          <w:bCs w:val="false"/>
          <w:i w:val="false"/>
          <w:iCs w:val="false"/>
          <w:color w:val="59595B"/>
          <w:sz w:val="22"/>
          <w:szCs w:val="22"/>
        </w:rPr>
        <w:t xml:space="preserve">AI handles research, segmentation, and first drafts. People own every partner and major-gift conversation and every final message to a donor.</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Accountability — inventory every AI tool. </w:t>
      </w:r>
      <w:r>
        <w:rPr>
          <w:rFonts w:ascii="Open Sans" w:cs="Open Sans" w:eastAsia="Open Sans" w:hAnsi="Open Sans"/>
          <w:b w:val="false"/>
          <w:bCs w:val="false"/>
          <w:i w:val="false"/>
          <w:iCs w:val="false"/>
          <w:color w:val="59595B"/>
          <w:sz w:val="22"/>
          <w:szCs w:val="22"/>
        </w:rPr>
        <w:t xml:space="preserve">Following the NIST AI Risk Management Framework, keep a simple record of each AI tool, its owner, and the data it touches — so governance is real, not assumed.</w:t>
      </w:r>
    </w:p>
    <w:p>
      <w:pPr>
        <w:pStyle w:val="Heading3"/>
        <w:keepNext/>
        <w:spacing w:after="90" w:before="220"/>
      </w:pPr>
      <w:r>
        <w:rPr>
          <w:rFonts w:ascii="Open Sans" w:cs="Open Sans" w:eastAsia="Open Sans" w:hAnsi="Open Sans"/>
          <w:b/>
          <w:bCs/>
          <w:color w:val="1A1A2E"/>
          <w:sz w:val="24"/>
          <w:szCs w:val="24"/>
        </w:rPr>
        <w:t xml:space="preserve">Why a partner, versus do-it-yourself or a new hire</w:t>
      </w:r>
    </w:p>
    <w:p>
      <w:pPr>
        <w:spacing w:after="120" w:before="0" w:line="320"/>
        <w:jc w:val="both"/>
      </w:pPr>
      <w:r>
        <w:rPr>
          <w:rFonts w:ascii="Open Sans" w:cs="Open Sans" w:eastAsia="Open Sans" w:hAnsi="Open Sans"/>
          <w:b w:val="false"/>
          <w:bCs w:val="false"/>
          <w:i w:val="false"/>
          <w:iCs w:val="false"/>
          <w:color w:val="59595B"/>
          <w:sz w:val="22"/>
          <w:szCs w:val="22"/>
        </w:rPr>
        <w:t xml:space="preserve">Free tools are cheap but leave you to assemble, secure, and govern the whole system — and to own the risks. A capable full-time technology hire is scarce and costs well over six figures a year, and cannot cover strategy, build, security, and governance alone. A partner provides all of that at a fraction of the cost, with proven builds and security-first method — and we architect, build, and operationalize through to something your team actually uses, rather than handing over a slide deck.</w:t>
      </w:r>
    </w:p>
    <w:p>
      <w:pPr>
        <w:pStyle w:val="Heading1"/>
        <w:keepNext/>
        <w:pageBreakBefore/>
        <w:spacing w:after="120" w:before="0" w:line="240"/>
      </w:pPr>
      <w:r>
        <w:rPr>
          <w:rFonts w:ascii="Open Sans" w:cs="Open Sans" w:eastAsia="Open Sans" w:hAnsi="Open Sans"/>
          <w:color w:val="FFFFFF"/>
          <w:sz w:val="2"/>
          <w:szCs w:val="2"/>
        </w:rPr>
        <w:t xml:space="preserve">11  The AI Growth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The AI Growth Engine</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With the foundation secured, here is the growth engine. It has three columns: be found and tell the story, raise more and win partners and grants, and serve schools and report impact. Each capability names the specific Technijian service that delivers it.</w:t>
      </w:r>
    </w:p>
    <w:p>
      <w:pPr>
        <w:keepNext/>
        <w:spacing w:after="60" w:before="120"/>
        <w:jc w:val="center"/>
      </w:pPr>
      <w:r>
        <w:drawing>
          <wp:inline distT="0" distB="0" distL="0" distR="0">
            <wp:extent cx="5943600" cy="3724275"/>
            <wp:effectExtent t="0" r="0" b="0" l="0"/>
            <wp:docPr id="1" name="Shoes That Fit AI growth engine" descr="Shoes That Fit AI growth engine" title="Shoes That Fit AI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24275"/>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11.0 — Be found and tell the story (left); raise more and win partners and grants (center); serve schools and report impact (right). AI drafts and researches; a human owns every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4305"/>
        <w:gridCol w:w="2435"/>
      </w:tblGrid>
      <w:tr>
        <w:trPr>
          <w:tblHeader/>
        </w:trPr>
        <w:tc>
          <w:tcPr>
            <w:tcW w:type="dxa" w:w="262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AI capability</w:t>
            </w:r>
          </w:p>
        </w:tc>
        <w:tc>
          <w:tcPr>
            <w:tcW w:type="dxa" w:w="430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Use case for Shoes That Fit</w:t>
            </w:r>
          </w:p>
        </w:tc>
        <w:tc>
          <w:tcPr>
            <w:tcW w:type="dxa" w:w="243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Technijian service</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Authority &amp; impact stories</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story engine — children served, the record gift, outcomes — that donors and search reward.</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SEO</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AEO / search + Google Ad Grant</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 the cited answer for corporate giving and back-to-school searches; run a free $10K/mo Ad Grant.</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SEO</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Bilingual reach</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Spanish donor and school pages across a 50-state, heavily Hispanic community.</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SEO</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Corporate-partner ABM</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Find look-alike corporate prospects, warm-intro paths, and renewal-risk signals for the #1 engine.</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Grant prospecting &amp; drafting</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Match funders and draft boilerplate; staff write the funder-specific case for support.</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Donor reactivation &amp; scoring</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Segment, score, and re-engage lapsed and mid-tier donors across the base.</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Per-partner CSR reporting</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Auto-draft each corporate partner’s impact report — the currency of renewal.</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School intake &amp; Shoe-Bank logistics</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Streamline how schools measure and request; forecast size mix and distribution from the warehouse.</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Dev</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The non-negotiable</w:t>
            </w:r>
          </w:p>
          <w:p>
            <w:pPr>
              <w:keepNext w:val="false"/>
              <w:keepLines/>
              <w:spacing w:after="60" w:before="40" w:line="300"/>
            </w:pPr>
            <w:r>
              <w:rPr>
                <w:rFonts w:ascii="Open Sans" w:cs="Open Sans" w:eastAsia="Open Sans" w:hAnsi="Open Sans"/>
                <w:color w:val="59595B"/>
                <w:sz w:val="20"/>
                <w:szCs w:val="20"/>
              </w:rPr>
              <w:t xml:space="preserve">AI assists the people who do this work; it does not replace the relationship that wins a partner gift or the staff member who matches a school. Every draft is checked, every claim is verified, and no donor or child data ever goes into a public tool. That is how this stays trustworthy in a mission built on trust.</w:t>
            </w:r>
          </w:p>
        </w:tc>
      </w:tr>
    </w:tbl>
    <w:p>
      <w:pPr>
        <w:pStyle w:val="Heading1"/>
        <w:keepNext/>
        <w:pageBreakBefore/>
        <w:spacing w:after="120" w:before="0" w:line="240"/>
      </w:pPr>
      <w:r>
        <w:rPr>
          <w:rFonts w:ascii="Open Sans" w:cs="Open Sans" w:eastAsia="Open Sans" w:hAnsi="Open Sans"/>
          <w:color w:val="FFFFFF"/>
          <w:sz w:val="2"/>
          <w:szCs w:val="2"/>
        </w:rPr>
        <w:t xml:space="preserve">12  Mission Impact &amp;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12  Mission Impact &amp; Investment</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We price from real, published service ranges, we lean on technology that is free or discounted to nonprofits, and we measure return only after discovery. No figure below is a quote, and none is presented as a guaranteed result for Shoes That Fit.</w:t>
      </w:r>
    </w:p>
    <w:p>
      <w:pPr>
        <w:pStyle w:val="Heading2"/>
        <w:keepNext/>
        <w:keepLines/>
        <w:spacing w:after="130" w:before="300"/>
      </w:pPr>
      <w:r>
        <w:rPr>
          <w:rFonts w:ascii="Open Sans" w:cs="Open Sans" w:eastAsia="Open Sans" w:hAnsi="Open Sans"/>
          <w:b/>
          <w:bCs/>
          <w:color w:val="006DB6"/>
          <w:sz w:val="27"/>
          <w:szCs w:val="27"/>
        </w:rPr>
        <w:t xml:space="preserve">Start small, prove it, then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492"/>
        <w:gridCol w:w="2622"/>
      </w:tblGrid>
      <w:tr>
        <w:trPr>
          <w:tblHeader/>
        </w:trPr>
        <w:tc>
          <w:tcPr>
            <w:tcW w:type="dxa" w:w="2246"/>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Phase</w:t>
            </w:r>
          </w:p>
        </w:tc>
        <w:tc>
          <w:tcPr>
            <w:tcW w:type="dxa" w:w="4492"/>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includes</w:t>
            </w:r>
          </w:p>
        </w:tc>
        <w:tc>
          <w:tcPr>
            <w:tcW w:type="dxa" w:w="2622"/>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Engagement type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Secure &amp; stabilize</w:t>
            </w:r>
          </w:p>
        </w:tc>
        <w:tc>
          <w:tcPr>
            <w:tcW w:type="dxa" w:w="449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free Nexus Assess baseline, then the priority controls it surfaces — payment/email fraud protection, MFA and endpoint security, and a clean Microsoft 365 migration.</w:t>
            </w:r>
          </w:p>
        </w:tc>
        <w:tc>
          <w:tcPr>
            <w:tcW w:type="dxa" w:w="262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Free assessment + fixed scope</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Raise &amp; reach</w:t>
            </w:r>
          </w:p>
        </w:tc>
        <w:tc>
          <w:tcPr>
            <w:tcW w:type="dxa" w:w="449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Corporate-partner ABM and AI-assisted grant drafting; donor segmentation and reactivation; AEO/SEO, a Google Ad Grant, and bilingual content.</w:t>
            </w:r>
          </w:p>
        </w:tc>
        <w:tc>
          <w:tcPr>
            <w:tcW w:type="dxa" w:w="262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SEO + My AI</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Deepen &amp; sustain</w:t>
            </w:r>
          </w:p>
        </w:tc>
        <w:tc>
          <w:tcPr>
            <w:tcW w:type="dxa" w:w="449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School-intake and Shoe-Bank logistics automation, per-partner impact reporting, a unified supporter view, and a measured dashboard of dollars raised, hours saved, and risk reduced.</w:t>
            </w:r>
          </w:p>
        </w:tc>
        <w:tc>
          <w:tcPr>
            <w:tcW w:type="dxa" w:w="262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Dev + ongoing support</w:t>
            </w:r>
          </w:p>
        </w:tc>
      </w:tr>
    </w:tbl>
    <w:p>
      <w:pPr>
        <w:pStyle w:val="Heading2"/>
        <w:keepNext/>
        <w:keepLines/>
        <w:spacing w:after="130" w:before="300"/>
      </w:pPr>
      <w:r>
        <w:rPr>
          <w:rFonts w:ascii="Open Sans" w:cs="Open Sans" w:eastAsia="Open Sans" w:hAnsi="Open Sans"/>
          <w:b/>
          <w:bCs/>
          <w:color w:val="006DB6"/>
          <w:sz w:val="27"/>
          <w:szCs w:val="27"/>
        </w:rPr>
        <w:t xml:space="preserve">What it costs — and how much is free or discounted to nonprofits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2808"/>
        <w:gridCol w:w="2434"/>
      </w:tblGrid>
      <w:tr>
        <w:trPr>
          <w:tblHeader/>
        </w:trPr>
        <w:tc>
          <w:tcPr>
            <w:tcW w:type="dxa" w:w="4118"/>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Component</w:t>
            </w:r>
          </w:p>
        </w:tc>
        <w:tc>
          <w:tcPr>
            <w:tcW w:type="dxa" w:w="2808"/>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Cost to a 501(c)(3)</w:t>
            </w:r>
          </w:p>
        </w:tc>
        <w:tc>
          <w:tcPr>
            <w:tcW w:type="dxa" w:w="2434"/>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Note</w:t>
            </w:r>
          </w:p>
        </w:tc>
      </w:tr>
      <w:tr>
        <w:trPr>
          <w:cantSplit/>
        </w:trPr>
        <w:tc>
          <w:tcPr>
            <w:tcW w:type="dxa" w:w="411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28A745"/>
                <w:sz w:val="19"/>
                <w:szCs w:val="19"/>
              </w:rPr>
              <w:t xml:space="preserve">Nexus Assess — baseline risk assessment</w:t>
            </w:r>
          </w:p>
        </w:tc>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Free (one-time)</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opening step</w:t>
            </w:r>
          </w:p>
        </w:tc>
      </w:tr>
      <w:tr>
        <w:trPr>
          <w:cantSplit/>
        </w:trPr>
        <w:tc>
          <w:tcPr>
            <w:tcW w:type="dxa" w:w="411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28A745"/>
                <w:sz w:val="19"/>
                <w:szCs w:val="19"/>
              </w:rPr>
              <w:t xml:space="preserve">Google Ad Grants — free search advertising</w:t>
            </w:r>
          </w:p>
        </w:tc>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Free (up to $10,000 / mo)</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in-kind reach</w:t>
            </w:r>
          </w:p>
        </w:tc>
      </w:tr>
      <w:tr>
        <w:trPr>
          <w:cantSplit/>
        </w:trPr>
        <w:tc>
          <w:tcPr>
            <w:tcW w:type="dxa" w:w="411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Microsoft 365 nonprofit licensing</w:t>
            </w:r>
          </w:p>
        </w:tc>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discounted via TechSoup (~$5.50/user/mo Business Premium)</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w:t>
            </w:r>
          </w:p>
        </w:tc>
      </w:tr>
      <w:tr>
        <w:trPr>
          <w:cantSplit/>
        </w:trPr>
        <w:tc>
          <w:tcPr>
            <w:tcW w:type="dxa" w:w="411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Security / My Cloud — controls + M365 migration</w:t>
            </w:r>
          </w:p>
        </w:tc>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scoped to team size</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project + recurring</w:t>
            </w:r>
          </w:p>
        </w:tc>
      </w:tr>
      <w:tr>
        <w:trPr>
          <w:cantSplit/>
        </w:trPr>
        <w:tc>
          <w:tcPr>
            <w:tcW w:type="dxa" w:w="411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SEO — authority + AEO + Ad Grant management</w:t>
            </w:r>
          </w:p>
        </w:tc>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published service range</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w:t>
            </w:r>
          </w:p>
        </w:tc>
      </w:tr>
      <w:tr>
        <w:trPr>
          <w:cantSplit/>
        </w:trPr>
        <w:tc>
          <w:tcPr>
            <w:tcW w:type="dxa" w:w="411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AI — partner ABM, grant, donor &amp; reporting automation</w:t>
            </w:r>
          </w:p>
        </w:tc>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scoped to workflow count</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 + build</w:t>
            </w:r>
          </w:p>
        </w:tc>
      </w:tr>
      <w:tr>
        <w:trPr>
          <w:cantSplit/>
        </w:trPr>
        <w:tc>
          <w:tcPr>
            <w:tcW w:type="dxa" w:w="411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Dev — intake / logistics / unified view build</w:t>
            </w:r>
          </w:p>
        </w:tc>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project-based</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one-time build</w:t>
            </w:r>
          </w:p>
        </w:tc>
      </w:tr>
    </w:tbl>
    <w:p>
      <w:pPr>
        <w:keepNext/>
        <w:spacing w:after="0" w:before="80"/>
      </w:pPr>
      <w:r>
        <w:t xml:space="preserve"/>
      </w:r>
    </w:p>
    <w:p>
      <w:pPr>
        <w:spacing w:after="120" w:before="0" w:line="320"/>
        <w:jc w:val="both"/>
      </w:pPr>
      <w:r>
        <w:rPr>
          <w:rFonts w:ascii="Open Sans" w:cs="Open Sans" w:eastAsia="Open Sans" w:hAnsi="Open Sans"/>
          <w:b/>
          <w:bCs/>
          <w:i w:val="false"/>
          <w:iCs w:val="false"/>
          <w:color w:val="1A1A2E"/>
          <w:sz w:val="22"/>
          <w:szCs w:val="22"/>
        </w:rPr>
        <w:t xml:space="preserve">How we will measure the return. </w:t>
      </w:r>
      <w:r>
        <w:rPr>
          <w:rFonts w:ascii="Open Sans" w:cs="Open Sans" w:eastAsia="Open Sans" w:hAnsi="Open Sans"/>
          <w:b w:val="false"/>
          <w:bCs w:val="false"/>
          <w:i w:val="false"/>
          <w:iCs w:val="false"/>
          <w:color w:val="59595B"/>
          <w:sz w:val="22"/>
          <w:szCs w:val="22"/>
        </w:rPr>
        <w:t xml:space="preserve">For a donation-funded mission, return is measured in dollars raised, staff hours recovered, children reached, and risk avoided — not a revenue multiple. The levers are concrete: more corporate partners retained and won, more grants pursued and secured, lapsed donors re-engaged, staff hours returned from drafting and reporting, and a record gift and donor base protected from fraud. We will put conservative, mid, and upside numbers against those levers once discovery gives us your real figures (Section 15). Until then, any single return claim would be a guess, and we don’t guess.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A note on affordability</w:t>
            </w:r>
          </w:p>
          <w:p>
            <w:pPr>
              <w:keepNext w:val="false"/>
              <w:keepLines/>
              <w:spacing w:after="60" w:before="40" w:line="300"/>
            </w:pPr>
            <w:r>
              <w:rPr>
                <w:rFonts w:ascii="Open Sans" w:cs="Open Sans" w:eastAsia="Open Sans" w:hAnsi="Open Sans"/>
                <w:color w:val="59595B"/>
                <w:sz w:val="20"/>
                <w:szCs w:val="20"/>
              </w:rPr>
              <w:t xml:space="preserve">We understand this is a contribution-funded organization in an invest-ahead year, with a mission we respect. We scope the first engagement to fit a real nonprofit budget, we lead with the free assessment and the free and discounted nonprofit technology, and we sequence the work so it starts where it pays for itself — in risk reduced or dollars raised — and grows only as it proves out.</w:t>
            </w:r>
          </w:p>
        </w:tc>
      </w:tr>
    </w:tbl>
    <w:p>
      <w:pPr>
        <w:pStyle w:val="Heading1"/>
        <w:keepNext/>
        <w:pageBreakBefore/>
        <w:spacing w:after="120" w:before="0" w:line="240"/>
      </w:pPr>
      <w:r>
        <w:rPr>
          <w:rFonts w:ascii="Open Sans" w:cs="Open Sans" w:eastAsia="Open Sans" w:hAnsi="Open Sans"/>
          <w:color w:val="FFFFFF"/>
          <w:sz w:val="2"/>
          <w:szCs w:val="2"/>
        </w:rPr>
        <w:t xml:space="preserve">13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13  Implementation Roadmap</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Staged so each phase pays for itself — in risk reduced, dollars raised, or hours saved — before the next begins, and sequenced to secure the foundation first, then grow.</w:t>
      </w:r>
    </w:p>
    <w:p>
      <w:pPr>
        <w:keepNext/>
        <w:spacing w:after="60" w:before="120"/>
        <w:jc w:val="center"/>
      </w:pPr>
      <w:r>
        <w:drawing>
          <wp:inline distT="0" distB="0" distL="0" distR="0">
            <wp:extent cx="5943600" cy="2619375"/>
            <wp:effectExtent t="0" r="0" b="0" l="0"/>
            <wp:docPr id="1" name="90/180/365-day roadmap" descr="90/180/365-day roadmap" title="90/180/365-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619375"/>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13.0 — Secure &amp; stabilize, then raise &amp; reach, then deepen &amp; sustain. Targets and sequence calibrate at discovery and flex to budget and grant cycles.</w:t>
      </w:r>
    </w:p>
    <w:p>
      <w:pPr>
        <w:spacing w:after="120" w:before="0" w:line="320"/>
        <w:jc w:val="both"/>
      </w:pPr>
      <w:r>
        <w:rPr>
          <w:rFonts w:ascii="Open Sans" w:cs="Open Sans" w:eastAsia="Open Sans" w:hAnsi="Open Sans"/>
          <w:b w:val="false"/>
          <w:bCs w:val="false"/>
          <w:i w:val="false"/>
          <w:iCs w:val="false"/>
          <w:color w:val="59595B"/>
          <w:sz w:val="22"/>
          <w:szCs w:val="22"/>
        </w:rPr>
        <w:t xml:space="preserve">Phase one runs the free Nexus Assess and closes the priority gaps it surfaces — payment and email fraud controls, multi-factor authentication, and a clean Microsoft 365 migration — and sets a one-page AI use policy with light staff training so the guardrails are real from day one. Phase two turns on the partner and grant engine and donor reactivation, activates a Google Ad Grant, and begins publishing search-friendly, AI-citable stories. Phase three automates school intake and Shoe-Bank logistics, adds per-partner impact reporting and a unified supporter view, and stands up a dashboard so every claim in this plan is measured against reality.</w:t>
      </w:r>
    </w:p>
    <w:p>
      <w:pPr>
        <w:pStyle w:val="Heading1"/>
        <w:keepNext/>
        <w:pageBreakBefore/>
        <w:spacing w:after="120" w:before="0" w:line="240"/>
      </w:pPr>
      <w:r>
        <w:rPr>
          <w:rFonts w:ascii="Open Sans" w:cs="Open Sans" w:eastAsia="Open Sans" w:hAnsi="Open Sans"/>
          <w:color w:val="FFFFFF"/>
          <w:sz w:val="2"/>
          <w:szCs w:val="2"/>
        </w:rPr>
        <w:t xml:space="preserve">14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14  Quick Wins — Start This Week</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Six actions Shoes That Fit can take now, most with no Technijian contract, that create value and set up the work:</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Run the free Nexus Assess. </w:t>
      </w:r>
      <w:r>
        <w:rPr>
          <w:rFonts w:ascii="Open Sans" w:cs="Open Sans" w:eastAsia="Open Sans" w:hAnsi="Open Sans"/>
          <w:b w:val="false"/>
          <w:bCs w:val="false"/>
          <w:i w:val="false"/>
          <w:iCs w:val="false"/>
          <w:color w:val="59595B"/>
          <w:sz w:val="22"/>
          <w:szCs w:val="22"/>
        </w:rPr>
        <w:t xml:space="preserve">Accept the no-cost risk assessment — the same one we run for our managed clients. One reply gets you a prioritized picture of where donor data and payments are exposed, with no obligation.</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Add a payment-verification rule today. </w:t>
      </w:r>
      <w:r>
        <w:rPr>
          <w:rFonts w:ascii="Open Sans" w:cs="Open Sans" w:eastAsia="Open Sans" w:hAnsi="Open Sans"/>
          <w:b w:val="false"/>
          <w:bCs w:val="false"/>
          <w:i w:val="false"/>
          <w:iCs w:val="false"/>
          <w:color w:val="59595B"/>
          <w:sz w:val="22"/>
          <w:szCs w:val="22"/>
        </w:rPr>
        <w:t xml:space="preserve">Require a known-number phone callback to confirm any new payment instruction or change of banking details. It is free, it takes a memo to staff, and it stops the most common wire-fraud play against a publicized gift.</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Turn on multi-factor authentication everywhere. </w:t>
      </w:r>
      <w:r>
        <w:rPr>
          <w:rFonts w:ascii="Open Sans" w:cs="Open Sans" w:eastAsia="Open Sans" w:hAnsi="Open Sans"/>
          <w:b w:val="false"/>
          <w:bCs w:val="false"/>
          <w:i w:val="false"/>
          <w:iCs w:val="false"/>
          <w:color w:val="59595B"/>
          <w:sz w:val="22"/>
          <w:szCs w:val="22"/>
        </w:rPr>
        <w:t xml:space="preserve">If it is not already universal across email and key systems, enabling it is the single highest-impact security step, at no cost.</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Activate a Google Ad Grant. </w:t>
      </w:r>
      <w:r>
        <w:rPr>
          <w:rFonts w:ascii="Open Sans" w:cs="Open Sans" w:eastAsia="Open Sans" w:hAnsi="Open Sans"/>
          <w:b w:val="false"/>
          <w:bCs w:val="false"/>
          <w:i w:val="false"/>
          <w:iCs w:val="false"/>
          <w:color w:val="59595B"/>
          <w:sz w:val="22"/>
          <w:szCs w:val="22"/>
        </w:rPr>
        <w:t xml:space="preserve">Eligible 501(c)(3) organizations receive up to $10,000 a month in free Google search ads — a powerful, no-cost channel for both donors and corporate sponsors.</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Surface the record gift and the 3-million milestone as quotable content. </w:t>
      </w:r>
      <w:r>
        <w:rPr>
          <w:rFonts w:ascii="Open Sans" w:cs="Open Sans" w:eastAsia="Open Sans" w:hAnsi="Open Sans"/>
          <w:b w:val="false"/>
          <w:bCs w:val="false"/>
          <w:i w:val="false"/>
          <w:iCs w:val="false"/>
          <w:color w:val="59595B"/>
          <w:sz w:val="22"/>
          <w:szCs w:val="22"/>
        </w:rPr>
        <w:t xml:space="preserve">Put your strongest proof points where corporate giving teams, search engines, and AI assistants can find and cite them — with the source data ready so they stand up to scrutiny.</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Pick the most painful report. </w:t>
      </w:r>
      <w:r>
        <w:rPr>
          <w:rFonts w:ascii="Open Sans" w:cs="Open Sans" w:eastAsia="Open Sans" w:hAnsi="Open Sans"/>
          <w:b w:val="false"/>
          <w:bCs w:val="false"/>
          <w:i w:val="false"/>
          <w:iCs w:val="false"/>
          <w:color w:val="59595B"/>
          <w:sz w:val="22"/>
          <w:szCs w:val="22"/>
        </w:rPr>
        <w:t xml:space="preserve">Identify the one grant or corporate-partner report that eats the most staff time — that becomes the first AI-assisted drafting target.</w:t>
      </w:r>
    </w:p>
    <w:p>
      <w:pPr>
        <w:pStyle w:val="Heading1"/>
        <w:keepNext/>
        <w:pageBreakBefore/>
        <w:spacing w:after="120" w:before="0" w:line="240"/>
      </w:pPr>
      <w:r>
        <w:rPr>
          <w:rFonts w:ascii="Open Sans" w:cs="Open Sans" w:eastAsia="Open Sans" w:hAnsi="Open Sans"/>
          <w:color w:val="FFFFFF"/>
          <w:sz w:val="2"/>
          <w:szCs w:val="2"/>
        </w:rPr>
        <w:t xml:space="preserve">15  Questions to Complete the Analysis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15  Questions to Complete the Analysis</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This is the part that turns a research-based blueprint into a costed, calibrated plan. The answers — from a short discovery call — replace every estimate above with your real numbers. "We’re not sure" is a useful answer.</w:t>
      </w:r>
    </w:p>
    <w:p>
      <w:pPr>
        <w:pStyle w:val="Heading2"/>
        <w:keepNext/>
        <w:keepLines/>
        <w:spacing w:after="130" w:before="300"/>
      </w:pPr>
      <w:r>
        <w:rPr>
          <w:rFonts w:ascii="Open Sans" w:cs="Open Sans" w:eastAsia="Open Sans" w:hAnsi="Open Sans"/>
          <w:b/>
          <w:bCs/>
          <w:color w:val="006DB6"/>
          <w:sz w:val="27"/>
          <w:szCs w:val="27"/>
        </w:rPr>
        <w:t xml:space="preserve">A · Mission &amp; operations</w:t>
      </w:r>
    </w:p>
    <w:p>
      <w:pPr>
        <w:pStyle w:val="ListParagraph"/>
        <w:numPr>
          <w:ilvl w:val="0"/>
          <w:numId w:val="2"/>
        </w:numPr>
        <w:spacing w:after="80" w:before="40" w:line="300"/>
      </w:pPr>
      <w:r>
        <w:rPr>
          <w:rFonts w:ascii="Open Sans" w:cs="Open Sans" w:eastAsia="Open Sans" w:hAnsi="Open Sans"/>
          <w:color w:val="59595B"/>
          <w:sz w:val="22"/>
          <w:szCs w:val="22"/>
        </w:rPr>
        <w:t xml:space="preserve">How many partner schools do you work with in a typical year, and how is school intake, sizing, and distribution coordinated today?</w:t>
      </w:r>
    </w:p>
    <w:p>
      <w:pPr>
        <w:pStyle w:val="ListParagraph"/>
        <w:numPr>
          <w:ilvl w:val="0"/>
          <w:numId w:val="2"/>
        </w:numPr>
        <w:spacing w:after="80" w:before="40" w:line="300"/>
      </w:pPr>
      <w:r>
        <w:rPr>
          <w:rFonts w:ascii="Open Sans" w:cs="Open Sans" w:eastAsia="Open Sans" w:hAnsi="Open Sans"/>
          <w:color w:val="59595B"/>
          <w:sz w:val="22"/>
          <w:szCs w:val="22"/>
        </w:rPr>
        <w:t xml:space="preserve">How does the new Shoe Bank change your logistics — and where do staff spend the most manual hours?</w:t>
      </w:r>
    </w:p>
    <w:p>
      <w:pPr>
        <w:pStyle w:val="ListParagraph"/>
        <w:numPr>
          <w:ilvl w:val="0"/>
          <w:numId w:val="2"/>
        </w:numPr>
        <w:spacing w:after="80" w:before="40" w:line="300"/>
      </w:pPr>
      <w:r>
        <w:rPr>
          <w:rFonts w:ascii="Open Sans" w:cs="Open Sans" w:eastAsia="Open Sans" w:hAnsi="Open Sans"/>
          <w:color w:val="59595B"/>
          <w:sz w:val="22"/>
          <w:szCs w:val="22"/>
        </w:rPr>
        <w:t xml:space="preserve">How many staff are involved in development, marketing, and operations, and where is the team most stretched?</w:t>
      </w:r>
    </w:p>
    <w:p>
      <w:pPr>
        <w:pStyle w:val="Heading2"/>
        <w:keepNext/>
        <w:keepLines/>
        <w:spacing w:after="130" w:before="300"/>
      </w:pPr>
      <w:r>
        <w:rPr>
          <w:rFonts w:ascii="Open Sans" w:cs="Open Sans" w:eastAsia="Open Sans" w:hAnsi="Open Sans"/>
          <w:b/>
          <w:bCs/>
          <w:color w:val="F67D4B"/>
          <w:sz w:val="27"/>
          <w:szCs w:val="27"/>
        </w:rPr>
        <w:t xml:space="preserve">B · Fundraising &amp; systems</w:t>
      </w:r>
    </w:p>
    <w:p>
      <w:pPr>
        <w:pStyle w:val="ListParagraph"/>
        <w:numPr>
          <w:ilvl w:val="0"/>
          <w:numId w:val="2"/>
        </w:numPr>
        <w:spacing w:after="80" w:before="40" w:line="300"/>
      </w:pPr>
      <w:r>
        <w:rPr>
          <w:rFonts w:ascii="Open Sans" w:cs="Open Sans" w:eastAsia="Open Sans" w:hAnsi="Open Sans"/>
          <w:color w:val="59595B"/>
          <w:sz w:val="22"/>
          <w:szCs w:val="22"/>
        </w:rPr>
        <w:t xml:space="preserve">How is the corporate-partner pipeline managed today, and how are per-partner impact reports produced?</w:t>
      </w:r>
    </w:p>
    <w:p>
      <w:pPr>
        <w:pStyle w:val="ListParagraph"/>
        <w:numPr>
          <w:ilvl w:val="0"/>
          <w:numId w:val="2"/>
        </w:numPr>
        <w:spacing w:after="80" w:before="40" w:line="300"/>
      </w:pPr>
      <w:r>
        <w:rPr>
          <w:rFonts w:ascii="Open Sans" w:cs="Open Sans" w:eastAsia="Open Sans" w:hAnsi="Open Sans"/>
          <w:color w:val="59595B"/>
          <w:sz w:val="22"/>
          <w:szCs w:val="22"/>
        </w:rPr>
        <w:t xml:space="preserve">What donor, CRM, and email systems do you use — and how are card donations processed?</w:t>
      </w:r>
    </w:p>
    <w:p>
      <w:pPr>
        <w:pStyle w:val="ListParagraph"/>
        <w:numPr>
          <w:ilvl w:val="0"/>
          <w:numId w:val="2"/>
        </w:numPr>
        <w:spacing w:after="80" w:before="40" w:line="300"/>
      </w:pPr>
      <w:r>
        <w:rPr>
          <w:rFonts w:ascii="Open Sans" w:cs="Open Sans" w:eastAsia="Open Sans" w:hAnsi="Open Sans"/>
          <w:color w:val="59595B"/>
          <w:sz w:val="22"/>
          <w:szCs w:val="22"/>
        </w:rPr>
        <w:t xml:space="preserve">How many grants do you pursue in a year, and what is your typical win rate and capacity?</w:t>
      </w:r>
    </w:p>
    <w:p>
      <w:pPr>
        <w:pStyle w:val="Heading2"/>
        <w:keepNext/>
        <w:keepLines/>
        <w:spacing w:after="130" w:before="300"/>
      </w:pPr>
      <w:r>
        <w:rPr>
          <w:rFonts w:ascii="Open Sans" w:cs="Open Sans" w:eastAsia="Open Sans" w:hAnsi="Open Sans"/>
          <w:b/>
          <w:bCs/>
          <w:color w:val="1EAAC8"/>
          <w:sz w:val="27"/>
          <w:szCs w:val="27"/>
        </w:rPr>
        <w:t xml:space="preserve">C · Technology &amp; security</w:t>
      </w:r>
    </w:p>
    <w:p>
      <w:pPr>
        <w:pStyle w:val="ListParagraph"/>
        <w:numPr>
          <w:ilvl w:val="0"/>
          <w:numId w:val="2"/>
        </w:numPr>
        <w:spacing w:after="80" w:before="40" w:line="300"/>
      </w:pPr>
      <w:r>
        <w:rPr>
          <w:rFonts w:ascii="Open Sans" w:cs="Open Sans" w:eastAsia="Open Sans" w:hAnsi="Open Sans"/>
          <w:color w:val="59595B"/>
          <w:sz w:val="22"/>
          <w:szCs w:val="22"/>
        </w:rPr>
        <w:t xml:space="preserve">Who runs your IT and security today — internal staff, an outside provider, or a mix?</w:t>
      </w:r>
    </w:p>
    <w:p>
      <w:pPr>
        <w:pStyle w:val="ListParagraph"/>
        <w:numPr>
          <w:ilvl w:val="0"/>
          <w:numId w:val="2"/>
        </w:numPr>
        <w:spacing w:after="80" w:before="40" w:line="300"/>
      </w:pPr>
      <w:r>
        <w:rPr>
          <w:rFonts w:ascii="Open Sans" w:cs="Open Sans" w:eastAsia="Open Sans" w:hAnsi="Open Sans"/>
          <w:color w:val="59595B"/>
          <w:sz w:val="22"/>
          <w:szCs w:val="22"/>
        </w:rPr>
        <w:t xml:space="preserve">Where are you in the 2025 Microsoft 365 nonprofit-licensing transition, and is multi-factor authentication universal?</w:t>
      </w:r>
    </w:p>
    <w:p>
      <w:pPr>
        <w:pStyle w:val="ListParagraph"/>
        <w:numPr>
          <w:ilvl w:val="0"/>
          <w:numId w:val="2"/>
        </w:numPr>
        <w:spacing w:after="80" w:before="40" w:line="300"/>
      </w:pPr>
      <w:r>
        <w:rPr>
          <w:rFonts w:ascii="Open Sans" w:cs="Open Sans" w:eastAsia="Open Sans" w:hAnsi="Open Sans"/>
          <w:color w:val="59595B"/>
          <w:sz w:val="22"/>
          <w:szCs w:val="22"/>
        </w:rPr>
        <w:t xml:space="preserve">How is donor personal information stored and protected, and what is your current incident-response plan?</w:t>
      </w:r>
    </w:p>
    <w:p>
      <w:pPr>
        <w:pStyle w:val="Heading2"/>
        <w:keepNext/>
        <w:keepLines/>
        <w:spacing w:after="130" w:before="300"/>
      </w:pPr>
      <w:r>
        <w:rPr>
          <w:rFonts w:ascii="Open Sans" w:cs="Open Sans" w:eastAsia="Open Sans" w:hAnsi="Open Sans"/>
          <w:b/>
          <w:bCs/>
          <w:color w:val="CBDB2D"/>
          <w:sz w:val="27"/>
          <w:szCs w:val="27"/>
        </w:rPr>
        <w:t xml:space="preserve">D · People &amp; decision</w:t>
      </w:r>
    </w:p>
    <w:p>
      <w:pPr>
        <w:pStyle w:val="ListParagraph"/>
        <w:numPr>
          <w:ilvl w:val="0"/>
          <w:numId w:val="2"/>
        </w:numPr>
        <w:spacing w:after="80" w:before="40" w:line="300"/>
      </w:pPr>
      <w:r>
        <w:rPr>
          <w:rFonts w:ascii="Open Sans" w:cs="Open Sans" w:eastAsia="Open Sans" w:hAnsi="Open Sans"/>
          <w:color w:val="59595B"/>
          <w:sz w:val="22"/>
          <w:szCs w:val="22"/>
        </w:rPr>
        <w:t xml:space="preserve">Who owns technology and security decisions, and who leads development and partnerships?</w:t>
      </w:r>
    </w:p>
    <w:p>
      <w:pPr>
        <w:pStyle w:val="ListParagraph"/>
        <w:numPr>
          <w:ilvl w:val="0"/>
          <w:numId w:val="2"/>
        </w:numPr>
        <w:spacing w:after="80" w:before="40" w:line="300"/>
      </w:pPr>
      <w:r>
        <w:rPr>
          <w:rFonts w:ascii="Open Sans" w:cs="Open Sans" w:eastAsia="Open Sans" w:hAnsi="Open Sans"/>
          <w:color w:val="59595B"/>
          <w:sz w:val="22"/>
          <w:szCs w:val="22"/>
        </w:rPr>
        <w:t xml:space="preserve">Is the priority this year to protect and stabilize, to raise more, to recover staff time — or some combination?</w:t>
      </w:r>
    </w:p>
    <w:p>
      <w:pPr>
        <w:pStyle w:val="ListParagraph"/>
        <w:numPr>
          <w:ilvl w:val="0"/>
          <w:numId w:val="2"/>
        </w:numPr>
        <w:spacing w:after="80" w:before="40" w:line="300"/>
      </w:pPr>
      <w:r>
        <w:rPr>
          <w:rFonts w:ascii="Open Sans" w:cs="Open Sans" w:eastAsia="Open Sans" w:hAnsi="Open Sans"/>
          <w:color w:val="59595B"/>
          <w:sz w:val="22"/>
          <w:szCs w:val="22"/>
        </w:rPr>
        <w:t xml:space="preserve">Who would sponsor this initiative, who else weighs in, and what would a successful first year look like?</w:t>
      </w:r>
    </w:p>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easiest way to answer</w:t>
            </w:r>
          </w:p>
          <w:p>
            <w:pPr>
              <w:keepNext w:val="false"/>
              <w:keepLines/>
              <w:spacing w:after="60" w:before="40" w:line="300"/>
            </w:pPr>
            <w:r>
              <w:rPr>
                <w:rFonts w:ascii="Open Sans" w:cs="Open Sans" w:eastAsia="Open Sans" w:hAnsi="Open Sans"/>
                <w:color w:val="59595B"/>
                <w:sz w:val="20"/>
                <w:szCs w:val="20"/>
              </w:rPr>
              <w:t xml:space="preserve">Most of these take a 45-minute discovery call. Several are answered for free by the Nexus Assess baseline and a short AI Readiness session, which together return a prioritized, costed plan — the cleanest, lowest-commitment first step.</w:t>
            </w:r>
          </w:p>
        </w:tc>
      </w:tr>
    </w:tbl>
    <w:p>
      <w:pPr>
        <w:pStyle w:val="Heading1"/>
        <w:keepNext/>
        <w:pageBreakBefore/>
        <w:spacing w:after="120" w:before="0" w:line="240"/>
      </w:pPr>
      <w:r>
        <w:rPr>
          <w:rFonts w:ascii="Open Sans" w:cs="Open Sans" w:eastAsia="Open Sans" w:hAnsi="Open Sans"/>
          <w:color w:val="FFFFFF"/>
          <w:sz w:val="2"/>
          <w:szCs w:val="2"/>
        </w:rPr>
        <w:t xml:space="preserve">16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16  What Happens Next</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A low-commitment sequence that produces something useful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4867"/>
        <w:gridCol w:w="3745"/>
      </w:tblGrid>
      <w:tr>
        <w:trPr>
          <w:tblHeader/>
        </w:trPr>
        <w:tc>
          <w:tcPr>
            <w:tcW w:type="dxa" w:w="748"/>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Step</w:t>
            </w:r>
          </w:p>
        </w:tc>
        <w:tc>
          <w:tcPr>
            <w:tcW w:type="dxa" w:w="4867"/>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happens</w:t>
            </w:r>
          </w:p>
        </w:tc>
        <w:tc>
          <w:tcPr>
            <w:tcW w:type="dxa" w:w="374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Your commitment</w:t>
            </w:r>
          </w:p>
        </w:tc>
      </w:tr>
      <w:tr>
        <w:trPr>
          <w:cantSplit/>
        </w:trPr>
        <w:tc>
          <w:tcPr>
            <w:tcW w:type="dxa" w:w="74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1</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short conversation — walk this blueprint and the Section 15 questions together, and confirm who owns technology and growth.</w:t>
            </w:r>
          </w:p>
        </w:tc>
        <w:tc>
          <w:tcPr>
            <w:tcW w:type="dxa" w:w="374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meeting. No commitment.</w:t>
            </w:r>
          </w:p>
        </w:tc>
      </w:tr>
      <w:tr>
        <w:trPr>
          <w:cantSplit/>
        </w:trPr>
        <w:tc>
          <w:tcPr>
            <w:tcW w:type="dxa" w:w="74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2</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free Nexus Assess and a brief AI Readiness session — a prioritized security baseline and a costed growth plan, scoped to budget.</w:t>
            </w:r>
          </w:p>
        </w:tc>
        <w:tc>
          <w:tcPr>
            <w:tcW w:type="dxa" w:w="374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free assessment; the plan is yours.</w:t>
            </w:r>
          </w:p>
        </w:tc>
      </w:tr>
      <w:tr>
        <w:trPr>
          <w:cantSplit/>
        </w:trPr>
        <w:tc>
          <w:tcPr>
            <w:tcW w:type="dxa" w:w="74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3</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Start small — close the priority security gaps, activate the free tech, and turn on one growth automation; grow as each step proves out.</w:t>
            </w:r>
          </w:p>
        </w:tc>
        <w:tc>
          <w:tcPr>
            <w:tcW w:type="dxa" w:w="374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You decide, with real numbers in hand.</w:t>
            </w:r>
          </w:p>
        </w:tc>
      </w:tr>
    </w:tbl>
    <w:p>
      <w:pPr>
        <w:keepNext/>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Let’s start the conversation</w:t>
            </w:r>
          </w:p>
          <w:p>
            <w:pPr>
              <w:keepNext/>
              <w:keepLines/>
              <w:spacing w:after="60" w:before="40" w:line="300"/>
            </w:pPr>
            <w:r>
              <w:rPr>
                <w:rFonts w:ascii="Open Sans" w:cs="Open Sans" w:eastAsia="Open Sans" w:hAnsi="Open Sans"/>
                <w:color w:val="59595B"/>
                <w:sz w:val="20"/>
                <w:szCs w:val="20"/>
              </w:rPr>
              <w:t xml:space="preserve">The easiest first step is the free Nexus Assess and a short working session on where AI creates measurable value for Shoes That Fit — no obligation. We will come having done our homework, and we will be honest about what is free, what is worth paying for, and what can wait.</w:t>
            </w:r>
          </w:p>
          <w:p>
            <w:pPr>
              <w:keepNext w:val="false"/>
              <w:keepLines/>
              <w:spacing w:after="60" w:before="40" w:line="300"/>
            </w:pPr>
            <w:r>
              <w:rPr>
                <w:rFonts w:ascii="Open Sans" w:cs="Open Sans" w:eastAsia="Open Sans" w:hAnsi="Open Sans"/>
                <w:color w:val="59595B"/>
                <w:sz w:val="20"/>
                <w:szCs w:val="20"/>
              </w:rPr>
              <w:t xml:space="preserve">Ravi Jain, Founder &amp; CEO · rjain@technijian.com · 949.379.8499 · technijian.com</w:t>
            </w:r>
          </w:p>
        </w:tc>
      </w:tr>
    </w:tbl>
    <w:p>
      <w:pPr>
        <w:pStyle w:val="Heading1"/>
        <w:keepNext/>
        <w:pageBreakBefore/>
        <w:spacing w:after="120" w:before="0" w:line="240"/>
      </w:pPr>
      <w:r>
        <w:rPr>
          <w:rFonts w:ascii="Open Sans" w:cs="Open Sans" w:eastAsia="Open Sans" w:hAnsi="Open Sans"/>
          <w:color w:val="FFFFFF"/>
          <w:sz w:val="2"/>
          <w:szCs w:val="2"/>
        </w:rPr>
        <w:t xml:space="preserve">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About Technijian</w:t>
            </w:r>
          </w:p>
        </w:tc>
      </w:tr>
    </w:tbl>
    <w:p>
      <w:pPr>
        <w:keepNext/>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 strategy and implementation firm and full-spectrum IT and security services company founded in 2000 by Ravi Jain. We help organizations move from AI curiosity to operational deployment — we architect, build, secure, and operationalize through to production. Our security practice is led with a CISSP-credentialed, security-first method; our dedicated pod model assigns a named team to each client; and our Irvine, California and Panchkula, India offices provide coverage across time zones. For mission-driven organizations, we lean first on the free and discounted technology that nonprofits qualify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Contact</w:t>
            </w:r>
          </w:p>
        </w:tc>
        <w:tc>
          <w:tcPr>
            <w:tcW w:type="dxa" w:w="6552"/>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Detail</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Primary contact</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Ravi Jain, Founder &amp; CEO — rjain@technijian.com</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Main line</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949.379.8499 (reaches both U.S. and India teams)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U.S. headquarters</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18 Technology Dr., Ste 141, Irvine, CA 92618</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India delivery center</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Panchkula, Haryana, India</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Web</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technijian.com · technology as a solution</w:t>
            </w:r>
          </w:p>
        </w:tc>
      </w:tr>
    </w:tbl>
    <w:p>
      <w:pPr>
        <w:pStyle w:val="Heading1"/>
        <w:keepNext/>
        <w:pageBreakBefore/>
        <w:spacing w:after="120" w:before="0" w:line="240"/>
      </w:pPr>
      <w:r>
        <w:rPr>
          <w:rFonts w:ascii="Open Sans" w:cs="Open Sans" w:eastAsia="Open Sans" w:hAnsi="Open Sans"/>
          <w:color w:val="FFFFFF"/>
          <w:sz w:val="2"/>
          <w:szCs w:val="2"/>
        </w:rPr>
        <w:t xml:space="preserve">Appendix — Sources &amp; What Remains to Confirm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Appendix — Sources &amp; What Remains to Confirm</w:t>
            </w:r>
          </w:p>
        </w:tc>
      </w:tr>
    </w:tbl>
    <w:p>
      <w:pPr>
        <w:keepNext/>
        <w:spacing w:after="0" w:before="120"/>
      </w:pPr>
      <w:r>
        <w:t xml:space="preserve"/>
      </w:r>
    </w:p>
    <w:p>
      <w:pPr>
        <w:pStyle w:val="Heading2"/>
        <w:keepNext/>
        <w:keepLines/>
        <w:spacing w:after="130" w:before="300"/>
      </w:pPr>
      <w:r>
        <w:rPr>
          <w:rFonts w:ascii="Open Sans" w:cs="Open Sans" w:eastAsia="Open Sans" w:hAnsi="Open Sans"/>
          <w:b/>
          <w:bCs/>
          <w:color w:val="006DB6"/>
          <w:sz w:val="27"/>
          <w:szCs w:val="27"/>
        </w:rPr>
        <w:t xml:space="preserve">What we verified vs. what we set aside</w:t>
      </w:r>
    </w:p>
    <w:p>
      <w:pPr>
        <w:pStyle w:val="ListParagraph"/>
        <w:numPr>
          <w:ilvl w:val="0"/>
          <w:numId w:val="2"/>
        </w:numPr>
        <w:spacing w:after="80" w:before="40" w:line="300"/>
      </w:pPr>
      <w:r>
        <w:rPr>
          <w:rFonts w:ascii="Open Sans" w:cs="Open Sans" w:eastAsia="Open Sans" w:hAnsi="Open Sans"/>
          <w:color w:val="59595B"/>
          <w:sz w:val="22"/>
          <w:szCs w:val="22"/>
        </w:rPr>
        <w:t xml:space="preserve">Mission, the sponsor-school model, founding in 1992, 50-state reach, and the new Shoe Bank — VERIFIED (shoesthatfit.org).</w:t>
      </w:r>
    </w:p>
    <w:p>
      <w:pPr>
        <w:pStyle w:val="ListParagraph"/>
        <w:numPr>
          <w:ilvl w:val="0"/>
          <w:numId w:val="2"/>
        </w:numPr>
        <w:spacing w:after="80" w:before="40" w:line="300"/>
      </w:pPr>
      <w:r>
        <w:rPr>
          <w:rFonts w:ascii="Open Sans" w:cs="Open Sans" w:eastAsia="Open Sans" w:hAnsi="Open Sans"/>
          <w:color w:val="59595B"/>
          <w:sz w:val="22"/>
          <w:szCs w:val="22"/>
        </w:rPr>
        <w:t xml:space="preserve">501(c)(3) status, EIN 95-4425565, and FY2023–FY2025 financials (FY2025 revenue ~$13.1M, expenses ~$17.2M) — VERIFIED (ProPublica Nonprofit Explorer; IRS Form 990).</w:t>
      </w:r>
    </w:p>
    <w:p>
      <w:pPr>
        <w:pStyle w:val="ListParagraph"/>
        <w:numPr>
          <w:ilvl w:val="0"/>
          <w:numId w:val="2"/>
        </w:numPr>
        <w:spacing w:after="80" w:before="40" w:line="300"/>
      </w:pPr>
      <w:r>
        <w:rPr>
          <w:rFonts w:ascii="Open Sans" w:cs="Open Sans" w:eastAsia="Open Sans" w:hAnsi="Open Sans"/>
          <w:color w:val="59595B"/>
          <w:sz w:val="22"/>
          <w:szCs w:val="22"/>
        </w:rPr>
        <w:t xml:space="preserve">Charity Navigator 99% (Four-Star) rating, independent audit and audit committee — VERIFIED (Charity Navigator). We did not state a program-expense ratio, which we could not directly confirm.</w:t>
      </w:r>
    </w:p>
    <w:p>
      <w:pPr>
        <w:pStyle w:val="ListParagraph"/>
        <w:numPr>
          <w:ilvl w:val="0"/>
          <w:numId w:val="2"/>
        </w:numPr>
        <w:spacing w:after="80" w:before="40" w:line="300"/>
      </w:pPr>
      <w:r>
        <w:rPr>
          <w:rFonts w:ascii="Open Sans" w:cs="Open Sans" w:eastAsia="Open Sans" w:hAnsi="Open Sans"/>
          <w:color w:val="59595B"/>
          <w:sz w:val="22"/>
          <w:szCs w:val="22"/>
        </w:rPr>
        <w:t xml:space="preserve">Leadership — Amy Fass (CEO &amp; ED), Nekeda Newell-Hall (Deputy CEO, External Affairs), Julie Stevens (Chief of Staff), Jeff Fueston (VP Supply Chain), board chair Lynn Mason — VERIFIED (shoesthatfit.org staff &amp; board; press).</w:t>
      </w:r>
    </w:p>
    <w:p>
      <w:pPr>
        <w:pStyle w:val="ListParagraph"/>
        <w:numPr>
          <w:ilvl w:val="0"/>
          <w:numId w:val="2"/>
        </w:numPr>
        <w:spacing w:after="80" w:before="40" w:line="300"/>
      </w:pPr>
      <w:r>
        <w:rPr>
          <w:rFonts w:ascii="Open Sans" w:cs="Open Sans" w:eastAsia="Open Sans" w:hAnsi="Open Sans"/>
          <w:color w:val="59595B"/>
          <w:sz w:val="22"/>
          <w:szCs w:val="22"/>
        </w:rPr>
        <w:t xml:space="preserve">The $776,000+ Stater Bros. Charities gift (June 2026, 12-day campaign) and partners Nordstrom, Nike (via Nordstrom), Capital Group, LA Dodgers Foundation, LA Rams, MGM Resorts Foundation, Stratton Community Foundation — VERIFIED (press releases; corporate-partner page). One outlet rounded the gift to $766,000; we use $776,000+.</w:t>
      </w:r>
    </w:p>
    <w:p>
      <w:pPr>
        <w:pStyle w:val="ListParagraph"/>
        <w:numPr>
          <w:ilvl w:val="0"/>
          <w:numId w:val="2"/>
        </w:numPr>
        <w:spacing w:after="80" w:before="40" w:line="300"/>
      </w:pPr>
      <w:r>
        <w:rPr>
          <w:rFonts w:ascii="Open Sans" w:cs="Open Sans" w:eastAsia="Open Sans" w:hAnsi="Open Sans"/>
          <w:color w:val="59595B"/>
          <w:sz w:val="22"/>
          <w:szCs w:val="22"/>
        </w:rPr>
        <w:t xml:space="preserve">LinkedIn ~2,084 followers and 44 employees — VERIFIED by direct page visit. Instagram, Facebook, and other social follower counts — NOT independently verified; reported as presence only.</w:t>
      </w:r>
    </w:p>
    <w:p>
      <w:pPr>
        <w:pStyle w:val="ListParagraph"/>
        <w:numPr>
          <w:ilvl w:val="0"/>
          <w:numId w:val="2"/>
        </w:numPr>
        <w:spacing w:after="80" w:before="40" w:line="300"/>
      </w:pPr>
      <w:r>
        <w:rPr>
          <w:rFonts w:ascii="Open Sans" w:cs="Open Sans" w:eastAsia="Open Sans" w:hAnsi="Open Sans"/>
          <w:color w:val="59595B"/>
          <w:sz w:val="22"/>
          <w:szCs w:val="22"/>
        </w:rPr>
        <w:t xml:space="preserve">Impact figures (~218,000 children/year; 3M+ pairs) — attributed as organization-reported, not independently audited. Number of partner schools — NOT confirmed.</w:t>
      </w:r>
    </w:p>
    <w:p>
      <w:pPr>
        <w:pStyle w:val="ListParagraph"/>
        <w:numPr>
          <w:ilvl w:val="0"/>
          <w:numId w:val="2"/>
        </w:numPr>
        <w:spacing w:after="80" w:before="40" w:line="300"/>
      </w:pPr>
      <w:r>
        <w:rPr>
          <w:rFonts w:ascii="Open Sans" w:cs="Open Sans" w:eastAsia="Open Sans" w:hAnsi="Open Sans"/>
          <w:color w:val="59595B"/>
          <w:sz w:val="22"/>
          <w:szCs w:val="22"/>
        </w:rPr>
        <w:t xml:space="preserve">IT and security posture, donor/CRM and payment platforms, FY2025 deficit cause, and any specific compliance obligation (PCI-DSS scope, state privacy law) — NOT confirmed; listed as questions in Section 15.</w:t>
      </w:r>
    </w:p>
    <w:p>
      <w:pPr>
        <w:pStyle w:val="Heading2"/>
        <w:keepNext/>
        <w:keepLines/>
        <w:spacing w:after="130" w:before="300"/>
      </w:pPr>
      <w:r>
        <w:rPr>
          <w:rFonts w:ascii="Open Sans" w:cs="Open Sans" w:eastAsia="Open Sans" w:hAnsi="Open Sans"/>
          <w:b/>
          <w:bCs/>
          <w:color w:val="006DB6"/>
          <w:sz w:val="27"/>
          <w:szCs w:val="27"/>
        </w:rPr>
        <w:t xml:space="preserve">Selected sources</w:t>
      </w:r>
    </w:p>
    <w:p>
      <w:pPr>
        <w:pStyle w:val="ListParagraph"/>
        <w:numPr>
          <w:ilvl w:val="0"/>
          <w:numId w:val="2"/>
        </w:numPr>
        <w:spacing w:after="80" w:before="40" w:line="300"/>
      </w:pPr>
      <w:r>
        <w:rPr>
          <w:rFonts w:ascii="Open Sans" w:cs="Open Sans" w:eastAsia="Open Sans" w:hAnsi="Open Sans"/>
          <w:color w:val="59595B"/>
          <w:sz w:val="22"/>
          <w:szCs w:val="22"/>
        </w:rPr>
        <w:t xml:space="preserve">Shoes That Fit — home, about, staff &amp; board, corporate partners, and news pages: shoesthatfit.org.</w:t>
      </w:r>
    </w:p>
    <w:p>
      <w:pPr>
        <w:pStyle w:val="ListParagraph"/>
        <w:numPr>
          <w:ilvl w:val="0"/>
          <w:numId w:val="2"/>
        </w:numPr>
        <w:spacing w:after="80" w:before="40" w:line="300"/>
      </w:pPr>
      <w:r>
        <w:rPr>
          <w:rFonts w:ascii="Open Sans" w:cs="Open Sans" w:eastAsia="Open Sans" w:hAnsi="Open Sans"/>
          <w:color w:val="59595B"/>
          <w:sz w:val="22"/>
          <w:szCs w:val="22"/>
        </w:rPr>
        <w:t xml:space="preserve">Financial / regulatory — ProPublica Nonprofit Explorer and IRS Form 990 (EIN 95-4425565); Charity Navigator.</w:t>
      </w:r>
    </w:p>
    <w:p>
      <w:pPr>
        <w:pStyle w:val="ListParagraph"/>
        <w:numPr>
          <w:ilvl w:val="0"/>
          <w:numId w:val="2"/>
        </w:numPr>
        <w:spacing w:after="80" w:before="40" w:line="300"/>
      </w:pPr>
      <w:r>
        <w:rPr>
          <w:rFonts w:ascii="Open Sans" w:cs="Open Sans" w:eastAsia="Open Sans" w:hAnsi="Open Sans"/>
          <w:color w:val="59595B"/>
          <w:sz w:val="22"/>
          <w:szCs w:val="22"/>
        </w:rPr>
        <w:t xml:space="preserve">Press &amp; partners — Stater Bros. Charities $776K release (wire services; Claremont Courier); Nordstrom press; Capital Group, LA Dodgers Foundation, LA Rams, MGM Resorts Foundation, Stratton Community Foundation.</w:t>
      </w:r>
    </w:p>
    <w:p>
      <w:pPr>
        <w:pStyle w:val="ListParagraph"/>
        <w:numPr>
          <w:ilvl w:val="0"/>
          <w:numId w:val="2"/>
        </w:numPr>
        <w:spacing w:after="80" w:before="40" w:line="300"/>
      </w:pPr>
      <w:r>
        <w:rPr>
          <w:rFonts w:ascii="Open Sans" w:cs="Open Sans" w:eastAsia="Open Sans" w:hAnsi="Open Sans"/>
          <w:color w:val="59595B"/>
          <w:sz w:val="22"/>
          <w:szCs w:val="22"/>
        </w:rPr>
        <w:t xml:space="preserve">Security &amp; threat landscape — FBI IC3 2025 Internet Crime Report (BEC losses); sector cybersecurity research (BDO, NTEN, Okta, CyberPeace Institute).</w:t>
      </w:r>
    </w:p>
    <w:p>
      <w:pPr>
        <w:pStyle w:val="ListParagraph"/>
        <w:numPr>
          <w:ilvl w:val="0"/>
          <w:numId w:val="2"/>
        </w:numPr>
        <w:spacing w:after="80" w:before="40" w:line="300"/>
      </w:pPr>
      <w:r>
        <w:rPr>
          <w:rFonts w:ascii="Open Sans" w:cs="Open Sans" w:eastAsia="Open Sans" w:hAnsi="Open Sans"/>
          <w:color w:val="59595B"/>
          <w:sz w:val="22"/>
          <w:szCs w:val="22"/>
        </w:rPr>
        <w:t xml:space="preserve">Nonprofit technology — Google for Nonprofits + Google Ad Grants; Microsoft for Nonprofits (2025 licensing change); TechSoup; Candid.</w:t>
      </w:r>
    </w:p>
    <w:p>
      <w:pPr>
        <w:pStyle w:val="ListParagraph"/>
        <w:numPr>
          <w:ilvl w:val="0"/>
          <w:numId w:val="2"/>
        </w:numPr>
        <w:spacing w:after="80" w:before="40" w:line="300"/>
      </w:pPr>
      <w:r>
        <w:rPr>
          <w:rFonts w:ascii="Open Sans" w:cs="Open Sans" w:eastAsia="Open Sans" w:hAnsi="Open Sans"/>
          <w:color w:val="59595B"/>
          <w:sz w:val="22"/>
          <w:szCs w:val="22"/>
        </w:rPr>
        <w:t xml:space="preserve">AI framing &amp; guardrails — MIT Sloan (AI literacy); Anthropic (workflows vs. agents); Gartner / Google Cloud (maturity model); NIST AI Risk Management Framework; State of AI in Nonprofits 2025; peer use cases (Treetop, charity: water, Classy, Roper St. Francis) as industry examples only.</w:t>
      </w:r>
    </w:p>
    <w:p>
      <w:pPr>
        <w:keepNext/>
        <w:spacing w:after="0" w:before="120"/>
      </w:pPr>
      <w:r>
        <w:t xml:space="preserve"/>
      </w:r>
    </w:p>
    <w:p>
      <w:pPr>
        <w:spacing w:after="80" w:before="0" w:line="320"/>
        <w:jc w:val="both"/>
      </w:pPr>
      <w:r>
        <w:rPr>
          <w:rFonts w:ascii="Open Sans" w:cs="Open Sans" w:eastAsia="Open Sans" w:hAnsi="Open Sans"/>
          <w:b w:val="false"/>
          <w:bCs w:val="false"/>
          <w:i/>
          <w:iCs/>
          <w:color w:val="59595B"/>
          <w:sz w:val="18"/>
          <w:szCs w:val="18"/>
        </w:rPr>
        <w:t xml:space="preserve">Sector and market figures describe the wider nonprofit environment; figures specific to Shoes That Fit are drawn from public filings and the organization’s own statements, with anything uncertain deferred to discovery. Peer outcomes are industry examples, not Technijian or Shoes That Fit results. Prepared by Technijian, June 23, 2026.</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Open Sans" w:cs="Open Sans" w:eastAsia="Open Sans" w:hAnsi="Open Sans"/>
        <w:b/>
        <w:bCs/>
        <w:color w:val="59595B"/>
        <w:sz w:val="16"/>
        <w:szCs w:val="16"/>
      </w:rPr>
      <w:t xml:space="preserve">Technijian</w:t>
    </w:r>
    <w:r>
      <w:rPr>
        <w:rFonts w:ascii="Open Sans" w:cs="Open Sans" w:eastAsia="Open Sans" w:hAnsi="Open Sans"/>
        <w:color w:val="59595B"/>
        <w:sz w:val="16"/>
        <w:szCs w:val="16"/>
      </w:rPr>
      <w:t xml:space="preserve">  ·  technology as a solution  ·  technijian.com  ·  949.379.8499  ·  CONFIDENTIAL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6DB6" w:sz="6"/>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vAlign w:val="center"/>
        </w:tcPr>
        <w:p>
          <w:r>
            <w:drawing>
              <wp:inline distT="0" distB="0" distL="0" distR="0">
                <wp:extent cx="1257300" cy="266700"/>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2667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vAlign w:val="center"/>
        </w:tcPr>
        <w:p>
          <w:pPr>
            <w:jc w:val="right"/>
          </w:pPr>
          <w:r>
            <w:rPr>
              <w:rFonts w:ascii="Open Sans" w:cs="Open Sans" w:eastAsia="Open Sans" w:hAnsi="Open Sans"/>
              <w:color w:val="59595B"/>
              <w:sz w:val="16"/>
              <w:szCs w:val="16"/>
            </w:rPr>
            <w:t xml:space="preserve">Shoes That Fit  ·  AI Growth &amp; IT Readiness Blueprint</w:t>
          </w:r>
        </w:p>
      </w:tc>
    </w:tr>
  </w:tbl>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80" w:before="300"/>
      <w:outlineLvl w:val="1"/>
    </w:pPr>
    <w:rPr>
      <w:rFonts w:ascii="Open Sans" w:cs="Open Sans" w:eastAsia="Open Sans" w:hAnsi="Open Sans"/>
      <w:b/>
      <w:bCs/>
      <w:color w:val="006DB6"/>
      <w:sz w:val="28"/>
      <w:szCs w:val="28"/>
    </w:rPr>
  </w:style>
  <w:style w:type="paragraph" w:styleId="Heading3">
    <w:name w:val="Heading 3"/>
    <w:basedOn w:val="Normal"/>
    <w:next w:val="Normal"/>
    <w:qFormat/>
    <w:pPr>
      <w:spacing w:after="120" w:before="24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image" Target="media/1bf0f7e75589321fb58ed7640882993381c35798.png"/><Relationship Id="rId11" Type="http://schemas.openxmlformats.org/officeDocument/2006/relationships/image" Target="media/786615432b5f2f1aa78a1af258ef1a04b243ecae.png"/><Relationship Id="rId12" Type="http://schemas.openxmlformats.org/officeDocument/2006/relationships/image" Target="media/6b569e02e6d9003c3c957f9c33099825ab0ae16c.png"/><Relationship Id="rId13" Type="http://schemas.openxmlformats.org/officeDocument/2006/relationships/image" Target="media/f99bb9f3f3ff4a76f6da04eb93b5f263d5f94f8b.png"/><Relationship Id="rId14" Type="http://schemas.openxmlformats.org/officeDocument/2006/relationships/image" Target="media/324cf6f40b60c20e397657442618cc460217e1f6.png"/><Relationship Id="rId15" Type="http://schemas.openxmlformats.org/officeDocument/2006/relationships/image" Target="media/98e58656cc4876cc81f6fe6c4a78d4dea68e4b1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103d8b7cd0eed7467432b2205de7bc29f677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Shoes That Fit — AI Growth &amp; IT Readiness Blueprint</dc:title>
  <dc:creator>Technijian</dc:creator>
  <dc:description>A facts-only hybrid AI growth and IT readiness blueprint for Shoes That Fit, prepared by Technijian.</dc:description>
  <cp:lastModifiedBy>Un-named</cp:lastModifiedBy>
  <cp:revision>1</cp:revision>
  <dcterms:created xsi:type="dcterms:W3CDTF">2026-06-23T23:56:21.937Z</dcterms:created>
  <dcterms:modified xsi:type="dcterms:W3CDTF">2026-06-23T23:56:21.939Z</dcterms:modified>
</cp:coreProperties>
</file>

<file path=docProps/custom.xml><?xml version="1.0" encoding="utf-8"?>
<Properties xmlns="http://schemas.openxmlformats.org/officeDocument/2006/custom-properties" xmlns:vt="http://schemas.openxmlformats.org/officeDocument/2006/docPropsVTypes"/>
</file>