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100"/>
            </w:pPr>
            <w:r>
              <w:t xml:space="preserve"/>
            </w:r>
          </w:p>
        </w:tc>
      </w:tr>
    </w:tbl>
    <w:p>
      <w:pPr>
        <w:spacing w:after="0" w:before="300"/>
      </w:pPr>
      <w:r>
        <w:t xml:space="preserve"/>
      </w:r>
    </w:p>
    <w:p>
      <w:pPr>
        <w:jc w:val="center"/>
      </w:pPr>
      <w:r>
        <w:drawing>
          <wp:inline distT="0" distB="0" distL="0" distR="0">
            <wp:extent cx="20002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19100"/>
                    </a:xfrm>
                    <a:prstGeom prst="rect">
                      <a:avLst/>
                    </a:prstGeom>
                  </pic:spPr>
                </pic:pic>
              </a:graphicData>
            </a:graphic>
          </wp:inline>
        </w:drawing>
      </w:r>
    </w:p>
    <w:p>
      <w:pPr>
        <w:spacing w:after="0" w:before="200"/>
      </w:pPr>
      <w:r>
        <w:t xml:space="preserve"/>
      </w:r>
    </w:p>
    <w:p>
      <w:pPr>
        <w:spacing w:after="40"/>
        <w:jc w:val="center"/>
      </w:pPr>
      <w:r>
        <w:rPr>
          <w:rFonts w:ascii="Open Sans" w:cs="Open Sans" w:eastAsia="Open Sans" w:hAnsi="Open Sans"/>
          <w:b/>
          <w:bCs/>
          <w:color w:val="1A1A2E"/>
          <w:sz w:val="40"/>
          <w:szCs w:val="40"/>
        </w:rPr>
        <w:t xml:space="preserve">JDH PACIFIC</w:t>
      </w:r>
    </w:p>
    <w:p>
      <w:pPr>
        <w:spacing w:after="60"/>
        <w:jc w:val="center"/>
      </w:pPr>
      <w:r>
        <w:rPr>
          <w:rFonts w:ascii="Open Sans" w:cs="Open Sans" w:eastAsia="Open Sans" w:hAnsi="Open Sans"/>
          <w:color w:val="006DB6"/>
          <w:sz w:val="26"/>
          <w:szCs w:val="26"/>
        </w:rPr>
        <w:t xml:space="preserve">AI Growth &amp; Integration Plan  ·  Executive Summary</w:t>
      </w:r>
    </w:p>
    <w:p>
      <w:pPr>
        <w:spacing w:after="180"/>
        <w:jc w:val="center"/>
      </w:pPr>
      <w:r>
        <w:rPr>
          <w:rFonts w:ascii="Open Sans" w:cs="Open Sans" w:eastAsia="Open Sans" w:hAnsi="Open Sans"/>
          <w:color w:val="59595B"/>
          <w:sz w:val="20"/>
          <w:szCs w:val="20"/>
        </w:rPr>
        <w:t xml:space="preserve">Prepared by Technijian  ·  2026-06-02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006DB6"/>
                <w:sz w:val="36"/>
                <w:szCs w:val="36"/>
              </w:rPr>
              <w:t xml:space="preserve">35+ yrs</w:t>
            </w:r>
          </w:p>
          <w:p>
            <w:pPr>
              <w:spacing w:after="0"/>
              <w:jc w:val="center"/>
            </w:pPr>
            <w:r>
              <w:rPr>
                <w:rFonts w:ascii="Open Sans" w:cs="Open Sans" w:eastAsia="Open Sans" w:hAnsi="Open Sans"/>
                <w:color w:val="59595B"/>
                <w:sz w:val="16"/>
                <w:szCs w:val="16"/>
              </w:rPr>
              <w:t xml:space="preserve">Supplying Industrial OEMs</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F67D4B"/>
                <w:sz w:val="36"/>
                <w:szCs w:val="36"/>
              </w:rPr>
              <w:t xml:space="preserve">4 Countries</w:t>
            </w:r>
          </w:p>
          <w:p>
            <w:pPr>
              <w:spacing w:after="0"/>
              <w:jc w:val="center"/>
            </w:pPr>
            <w:r>
              <w:rPr>
                <w:rFonts w:ascii="Open Sans" w:cs="Open Sans" w:eastAsia="Open Sans" w:hAnsi="Open Sans"/>
                <w:color w:val="59595B"/>
                <w:sz w:val="16"/>
                <w:szCs w:val="16"/>
              </w:rPr>
              <w:t xml:space="preserve">US · Mexico · China · India</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1EAAC8"/>
                <w:sz w:val="36"/>
                <w:szCs w:val="36"/>
              </w:rPr>
              <w:t xml:space="preserve">NMSDC MBE</w:t>
            </w:r>
          </w:p>
          <w:p>
            <w:pPr>
              <w:spacing w:after="0"/>
              <w:jc w:val="center"/>
            </w:pPr>
            <w:r>
              <w:rPr>
                <w:rFonts w:ascii="Open Sans" w:cs="Open Sans" w:eastAsia="Open Sans" w:hAnsi="Open Sans"/>
                <w:color w:val="59595B"/>
                <w:sz w:val="16"/>
                <w:szCs w:val="16"/>
              </w:rPr>
              <w:t xml:space="preserve">Minority-Owned Certified</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C9922A"/>
                <w:sz w:val="36"/>
                <w:szCs w:val="36"/>
              </w:rPr>
              <w:t xml:space="preserve">47 users</w:t>
            </w:r>
          </w:p>
          <w:p>
            <w:pPr>
              <w:spacing w:after="0"/>
              <w:jc w:val="center"/>
            </w:pPr>
            <w:r>
              <w:rPr>
                <w:rFonts w:ascii="Open Sans" w:cs="Open Sans" w:eastAsia="Open Sans" w:hAnsi="Open Sans"/>
                <w:color w:val="59595B"/>
                <w:sz w:val="16"/>
                <w:szCs w:val="16"/>
              </w:rPr>
              <w:t xml:space="preserve">Already Managed by Technijian</w:t>
            </w:r>
          </w:p>
        </w:tc>
      </w:tr>
    </w:tbl>
    <w:p>
      <w:pPr>
        <w:spacing w:after="0" w:before="240"/>
      </w:pPr>
      <w:r>
        <w:t xml:space="preserve"/>
      </w:r>
    </w:p>
    <w:p>
      <w:pPr>
        <w:pStyle w:val="Heading1"/>
        <w:keepNext/>
        <w:spacing w:after="120" w:before="32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The Opportunity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JDH Pacific owns the hard things in its category. Joint-venture foundries in China, a four-country supply chain across the US, Mexico, China, and India, an in-house quality department and machine shop, NMSDC minority-owned certification, and a thirty-five-year track record supplying cast, forged, and machined components to Fortune-500 OEMs — Parker-Hannifin, Emerson, Dover, Eaton, Xylem, Regal Rexnord, Paccar, and DSI. And it is already a Technijian managed-IT and hosting client across 47 users.</w:t>
      </w:r>
    </w:p>
    <w:p>
      <w:pPr>
        <w:spacing w:after="140" w:before="0" w:line="320"/>
        <w:jc w:val="both"/>
      </w:pPr>
      <w:r>
        <w:rPr>
          <w:rFonts w:ascii="Open Sans" w:cs="Open Sans" w:eastAsia="Open Sans" w:hAnsi="Open Sans"/>
          <w:b w:val="false"/>
          <w:bCs w:val="false"/>
          <w:i w:val="false"/>
          <w:iCs w:val="false"/>
          <w:color w:val="59595B"/>
          <w:sz w:val="22"/>
          <w:szCs w:val="22"/>
        </w:rPr>
        <w:t xml:space="preserve">The growth gap is the AI operating layer that turns those physical assets into speed and margin. A contract manufacturer wins or loses on three things a hand-run shop can no longer keep up with in 2026. The quote race, where the OEM awards the program to whoever quotes first and most completely. The supplier-qualification discipline, where PPAP, FAI, COA, and customer scorecards decide whether the next program comes JDH’s way. And the sophistication of the sourcing answer in a Section 301, reshoring, and nearshoring world — where JDH already has the multi-origin footprint most rivals lack, but operates it by hand.</w:t>
      </w:r>
    </w:p>
    <w:p>
      <w:pPr>
        <w:spacing w:after="140" w:before="0" w:line="320"/>
        <w:jc w:val="both"/>
      </w:pPr>
      <w:r>
        <w:rPr>
          <w:rFonts w:ascii="Open Sans" w:cs="Open Sans" w:eastAsia="Open Sans" w:hAnsi="Open Sans"/>
          <w:b w:val="false"/>
          <w:bCs w:val="false"/>
          <w:i w:val="false"/>
          <w:iCs w:val="false"/>
          <w:color w:val="59595B"/>
          <w:sz w:val="22"/>
          <w:szCs w:val="22"/>
        </w:rPr>
        <w:t xml:space="preserve">No competitor in JDH’s set markets or operates AI-speed quoting, AI tariff intelligence, answer-engine visibility, and a tariff-resilient multi-origin story together. Domestic foundries are capable but high-cost; Asia brokers are cheap but bare; the big precision players have scale but no minority-owned status or boutique responsiveness. JDH already owns the assets — adding the AI layer puts it in a corner none of them hold. And because Technijian already runs JDH’s servers, security, Microsoft 365, Sage ERP, and PC-DMIS quality environment, the build starts inside a system we already operate.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 AI Drafts, A Person Signs</w:t>
            </w:r>
          </w:p>
          <w:p>
            <w:pPr>
              <w:keepNext/>
              <w:keepLines/>
              <w:spacing w:after="60" w:before="40" w:line="300"/>
            </w:pPr>
            <w:r>
              <w:rPr>
                <w:rFonts w:ascii="Open Sans" w:cs="Open Sans" w:eastAsia="Open Sans" w:hAnsi="Open Sans"/>
                <w:color w:val="59595B"/>
                <w:sz w:val="20"/>
                <w:szCs w:val="20"/>
              </w:rPr>
              <w:t xml:space="preserve">AI drafts the quote, classifies the part under its HTS code, assembles the PPAP / FAI / COA package, and watches the tariff — uniformly, with sources cited, inside the documentation rules the OEM and the regulator expect.</w:t>
            </w:r>
          </w:p>
          <w:p>
            <w:pPr>
              <w:keepNext w:val="false"/>
              <w:keepLines/>
              <w:spacing w:after="60" w:before="40" w:line="300"/>
            </w:pPr>
            <w:r>
              <w:rPr>
                <w:rFonts w:ascii="Open Sans" w:cs="Open Sans" w:eastAsia="Open Sans" w:hAnsi="Open Sans"/>
                <w:color w:val="59595B"/>
                <w:sz w:val="20"/>
                <w:szCs w:val="20"/>
              </w:rPr>
              <w:t xml:space="preserve">AI never fabricates an inspection result, never invents a country-of-origin claim, and never sets a price in an antitrust-sensitive way. A JDH quality engineer signs the material cert and a licensed customs broker signs the customs entry — exactly what a Fortune-500 supplier-quality reviewer needs to see.</w:t>
            </w:r>
          </w:p>
        </w:tc>
      </w:tr>
    </w:tbl>
    <w:p>
      <w:pPr>
        <w:spacing w:after="0" w:before="360"/>
      </w:pPr>
      <w:r>
        <w:t xml:space="preserve"/>
      </w:r>
    </w:p>
    <w:p>
      <w:pPr>
        <w:pStyle w:val="Heading1"/>
        <w:keepNext/>
        <w:spacing w:after="120" w:before="320" w:line="240"/>
      </w:pPr>
      <w:r>
        <w:rPr>
          <w:rFonts w:ascii="Open Sans" w:cs="Open Sans" w:eastAsia="Open Sans" w:hAnsi="Open Sans"/>
          <w:color w:val="FFFFFF"/>
          <w:sz w:val="2"/>
          <w:szCs w:val="2"/>
        </w:rPr>
        <w:t xml:space="preserve">How AI Transforms JDH’s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AI Transforms JDH’s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The first gets JDH found and specified by the OEM sourcing and design engineers who now ask Google AI, ChatGPT, and Perplexity for a supplier before they send an RFQ. The second wins the quote race by turning drawings, RFQs, and qualification packages into accurate quotes and certs in hours, not days. The third holds and grows the account by recalling thirty-five years of history, protecting quoted margin against tariff swings, and keeping every supplier scorecard green. Because Technijian already runs the Sage and PC-DMIS environment, the engine plugs into systems we operate today.</w:t>
      </w:r>
    </w:p>
    <w:p>
      <w:pPr>
        <w:spacing w:after="0" w:before="120"/>
      </w:pPr>
      <w:r>
        <w:t xml:space="preserve"/>
      </w:r>
    </w:p>
    <w:p>
      <w:pPr>
        <w:spacing w:after="80" w:before="120"/>
        <w:jc w:val="center"/>
      </w:pPr>
      <w:r>
        <w:drawing>
          <wp:inline distT="0" distB="0" distL="0" distR="0">
            <wp:extent cx="5715000" cy="3581400"/>
            <wp:effectExtent t="0" r="0" b="0" l="0"/>
            <wp:docPr id="1" name="The JDH AI Growth &amp; Integration Engine" descr="The JDH AI Growth &amp; Integration Engine" title="The JDH AI Growth &amp;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81400"/>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The Engine: Get Found &amp; Specified, Win the Quote Race, and Hold &amp; Grow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Get Found &amp; Specified</w:t>
            </w:r>
          </w:p>
          <w:p>
            <w:pPr>
              <w:keepNext w:val="false"/>
              <w:keepLines/>
              <w:spacing w:after="60" w:before="40" w:line="300"/>
            </w:pPr>
            <w:r>
              <w:rPr>
                <w:rFonts w:ascii="Open Sans" w:cs="Open Sans" w:eastAsia="Open Sans" w:hAnsi="Open Sans"/>
                <w:color w:val="59595B"/>
                <w:sz w:val="20"/>
                <w:szCs w:val="20"/>
              </w:rPr>
              <w:t xml:space="preserve">Own answer-engine citations on the supplier-discovery queries that matter: offshore casting supplier, minority-owned casting and forging supplier, tariff-resilient China and Mexico sourcing partner. Publish category authority content on total landed cost by origin, substantial transformation, and MBE Tier-2 value. Lift the Donald and Daniel LinkedIn cadence on reshoring and tariff resilience — the topics OEM sourcing leaders read.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Win the Quote Race</w:t>
            </w:r>
          </w:p>
          <w:p>
            <w:pPr>
              <w:keepNext w:val="false"/>
              <w:keepLines/>
              <w:spacing w:after="60" w:before="40" w:line="300"/>
            </w:pPr>
            <w:r>
              <w:rPr>
                <w:rFonts w:ascii="Open Sans" w:cs="Open Sans" w:eastAsia="Open Sans" w:hAnsi="Open Sans"/>
                <w:color w:val="59595B"/>
                <w:sz w:val="20"/>
                <w:szCs w:val="20"/>
              </w:rPr>
              <w:t xml:space="preserve">Point the same AI document-intelligence engine Technijian built for FINRA broker-dealers at JDH’s RFQs and drawings: read the drawing, recall thirty-five years of quote history, and draft the quote and should-cost in hours. Assemble PPAP, FAI, and COA packages from real PC-DMIS inspection data. Add an AI tariff and landed-cost-by-origin dashboard. Every quote and cert is three-model checked and human-signed.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Hold &amp; Grow</w:t>
            </w:r>
          </w:p>
          <w:p>
            <w:pPr>
              <w:keepNext w:val="false"/>
              <w:keepLines/>
              <w:spacing w:after="60" w:before="40" w:line="300"/>
            </w:pPr>
            <w:r>
              <w:rPr>
                <w:rFonts w:ascii="Open Sans" w:cs="Open Sans" w:eastAsia="Open Sans" w:hAnsi="Open Sans"/>
                <w:color w:val="59595B"/>
                <w:sz w:val="20"/>
                <w:szCs w:val="20"/>
              </w:rPr>
              <w:t xml:space="preserve">Make thirty-five years of quotes, tooling, and parts instantly recallable, so a repeat part is re-quoted in minutes instead of rebuilt from scratch. Automate the COA-on-every-lot flow to keep OEM supplier scorecards green. Flag quoted jobs a duty or policy shift has eroded before the PO is accepted. Recover the engineering hours quoting and paperwork consume today, and point them at more quotes and better design-for-manufacturability.</w:t>
            </w:r>
          </w:p>
        </w:tc>
      </w:tr>
    </w:tbl>
    <w:p>
      <w:pPr>
        <w:spacing w:after="0" w:before="360"/>
      </w:pPr>
      <w:r>
        <w:t xml:space="preserve"/>
      </w:r>
    </w:p>
    <w:p>
      <w:pPr>
        <w:pStyle w:val="Heading1"/>
        <w:keepNext/>
        <w:spacing w:after="120" w:before="320" w:line="240"/>
      </w:pPr>
      <w:r>
        <w:rPr>
          <w:rFonts w:ascii="Open Sans" w:cs="Open Sans" w:eastAsia="Open Sans" w:hAnsi="Open Sans"/>
          <w:color w:val="FFFFFF"/>
          <w:sz w:val="2"/>
          <w:szCs w:val="2"/>
        </w:rPr>
        <w:t xml:space="preserve">The Program — Start Small, Expand as It Proves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The Program — Start Small, Expand as It Proves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program leads with a small, low-commitment entry that pays for itself on the highest near-term levers — programs won faster and engineering hours recovered — with no large build to begin. The custom AI Quote &amp; Quality-Doc engine, integrated with the Sage and PC-DMIS environment Technijian already runs, comes second, once the entry proves the lift. Rolling the engine across the China, India, and Mexico sites is the Phase-3 upside, not the Year-1 ask.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2184"/>
        <w:gridCol w:w="2184"/>
      </w:tblGrid>
      <w:tr>
        <w:trPr>
          <w:cantSplit/>
          <w:tblHeader/>
        </w:trPr>
        <w:tc>
          <w:tcPr>
            <w:tcW w:type="dxa" w:w="49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Entry Program — Phase 1</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Tier 3 + AI Search Optimization (answer-engine authority + content)</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$14,400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ABM (Starter)</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 Executive Workshop (one-time)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 start here</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$2,200/mo + workshop</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0"/>
        <w:gridCol w:w="1826"/>
        <w:gridCol w:w="1826"/>
        <w:gridCol w:w="1828"/>
      </w:tblGrid>
      <w:tr>
        <w:trPr>
          <w:cantSplit/>
          <w:tblHeader/>
        </w:trPr>
        <w:tc>
          <w:tcPr>
            <w:tcW w:type="dxa" w:w="38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Lever (Estimated, 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8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part programs won — gross-profit contribution</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+$70K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+$260K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Engineering + quality hours recovered</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+$20K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Margin protected (tariff / landed-cost intelligence)</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+$35K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+$60K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 program)</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+$105K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+$225K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+$390K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~$32K entry</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~3.3x</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~7.0x</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~12.2x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All figures are estimated and conservative; the full 38-page plan walks through every assumption and calibrates after a short discovery call. The custom AI Quote &amp; Quality-Doc engine, integrated with Sage and PC-DMIS, adds further gains the entry ratio does not count — quote-velocity compounding, the supplier-diversity channel maturing, and the re-quote win-rate lift — and is the Phase-2 expansion, once the entry proves out.</w:t>
      </w:r>
    </w:p>
    <w:p>
      <w:pPr>
        <w:spacing w:after="0" w:before="120"/>
      </w:pPr>
      <w:r>
        <w:t xml:space="preserve"/>
      </w:r>
    </w:p>
    <w:p>
      <w:pPr>
        <w:spacing w:after="80" w:before="120"/>
        <w:jc w:val="center"/>
      </w:pPr>
      <w:r>
        <w:drawing>
          <wp:inline distT="0" distB="0" distL="0" distR="0">
            <wp:extent cx="5715000" cy="2514600"/>
            <wp:effectExtent t="0" r="0" b="0" l="0"/>
            <wp:docPr id="1" name="JDH 90-180-270 Day Roadmap" descr="JDH 90-180-270 Day Roadmap" title="JDH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90 / 180 / 270-Day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Next Step — 30 Minutes</w:t>
            </w:r>
          </w:p>
          <w:p>
            <w:pPr>
              <w:spacing w:after="80"/>
              <w:jc w:val="center"/>
            </w:pPr>
            <w:r>
              <w:rPr>
                <w:rFonts w:ascii="Open Sans" w:cs="Open Sans" w:eastAsia="Open Sans" w:hAnsi="Open Sans"/>
                <w:color w:val="FFFFFF"/>
                <w:sz w:val="20"/>
                <w:szCs w:val="20"/>
              </w:rPr>
              <w:t xml:space="preserve">A short call to confirm scope and calibrate the plan against JDH’s actual quote book and named accounts.</w:t>
            </w:r>
          </w:p>
          <w:p>
            <w:pPr>
              <w:jc w:val="center"/>
            </w:pPr>
            <w:r>
              <w:rPr>
                <w:rFonts w:ascii="Open Sans" w:cs="Open Sans" w:eastAsia="Open Sans" w:hAnsi="Open Sans"/>
                <w:color w:val="FFFFFF"/>
                <w:sz w:val="20"/>
                <w:szCs w:val="20"/>
              </w:rPr>
              <w:t xml:space="preserve">Ravi Jain, Technijian  |  RJain@technijian.com  |  949.379.8499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95275"/>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Plan: 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fa18a67b937b36f31cda682fcb390a07e1c037bf.png"/><Relationship Id="rId11" Type="http://schemas.openxmlformats.org/officeDocument/2006/relationships/image" Target="media/4a7c6c41d88feeb2fe5f3f0619132c2ab097fd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2026-06-02T19:04:30.270Z</dcterms:created>
  <dcterms:modified xsi:type="dcterms:W3CDTF">2026-06-02T19:04:30.272Z</dcterms:modified>
</cp:coreProperties>
</file>

<file path=docProps/custom.xml><?xml version="1.0" encoding="utf-8"?>
<Properties xmlns="http://schemas.openxmlformats.org/officeDocument/2006/custom-properties" xmlns:vt="http://schemas.openxmlformats.org/officeDocument/2006/docPropsVTypes"/>
</file>