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Ravi Jain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660C"/>
          <w:sz w:val="25"/>
          <w:szCs w:val="25"/>
        </w:rPr>
        <w:t xml:space="preserve">AI Strategy &amp; Implementation Consultant  |  Enterprise AI Advisor  |  Founder &amp; CEO, Technijian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Irvine, CA  |  rjain@technijian.com  |  (949) 379-8499 x201  |  technijian.com</w:t>
      </w:r>
    </w:p>
    <w:p>
      <w:pPr>
        <w:pBdr>
          <w:bottom w:val="single" w:color="1B3A6B" w:sz="14" w:space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EXECUTIVE PROFILE</w:t>
      </w:r>
    </w:p>
    <w:p>
      <w:pPr>
        <w:spacing w:after="80" w:before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and technology consulting executive with a blend of boardroom-level strategy, enterprise transformation leadership, and hands-on implementation capability. I help organizations move from AI exploration to operational deployment by aligning business goals, security requirements, data architecture, workflow automation, and user adoption.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My work sits at the intersection of AI strategy, enterprise software architecture, automation, cybersecurity, compliance, and managed operations. I advise leadership teams on where AI can create measurable business value, then work directly with technical teams to design, implement, and operationalize solutions across real environments.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Known for translating ambiguity into execution: defining roadmaps, architecting systems, selecting tools, designing workflows, building governance guardrails, and driving delivery through to production. 25+ years as a technology operator give me a practitioner’s lens that pure strategists rarely bring.</w:t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CORE CONSULTING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AI strategy &amp; adoption roadmaps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software &amp; platform architecture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use case discovery, prioritization &amp; business-case development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automation &amp; workflow orchestration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Hands-on AI implementation for internal operations &amp; client services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Security-first AI design, RBAC, auditability &amp; policy controls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workflow design, guardrails, approval flows &amp; secure tool integration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SaaS &amp; operational platform design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AI-enabled service delivery for MSP, IT, security &amp; compliance environments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product strategy, feature definition &amp; delivery oversight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‣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stakeholder alignment &amp; cross-functional implementation leadership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40" w:before="2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CEO &amp; AI / Technology Consulting Leader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E8660C"/>
          <w:sz w:val="22"/>
          <w:szCs w:val="22"/>
        </w:rPr>
        <w:t xml:space="preserve">Technijian Corporation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2000 – Present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Irvine, California  |  technijian.com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Lead a technology services and consulting business focused on helping organizations modernize operations, improve security posture, and adopt practical automation and AI solutions across managed IT, cybersecurity, cloud, compliance, and custom software.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Enterprise Consulting &amp;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Advise clients on enterprise AI adoption — opportunity mapping, workflow redesign, governance requirements, and phased implementation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with executive stakeholders to identify where AI can improve service delivery, reduce manual effort, accelerate documentation, improve decision support, and strengthen operational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Bridge business and technical teams by translating strategic goals into implementation plans, architectural requirements, delivery milestones, and measurable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organizations navigating the overlap of AI, cybersecurity, compliance, documentation, and IT operations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Hands-On Implementation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Translate consulting strategy into delivery by shaping solution architecture, system design, operational workflows, data structures, APIs, and deployment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implementation initiatives spanning: LLM-enabled assistants and grounded Q&amp;A; workflow automation and orchestration; policy-aware AI tooling; enterprise documentation systems; security and compliance operations workflows; inventory, monitoring, and evidence collection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directly with technical teams on scope definition, product logic, module design, integration planning, and production-readiness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Stay involved below the strategy layer: architecture reviews, feature definition, edge-case analysis, process mapping, and execution troubleshooting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AI / Platform / Product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deployed a multi-agent AI SEO automation platform integrating Claude, GPT-4o, and Gemini — with MCP servers for SEMrush, GA4, Perplexity, Firecrawl, DataForSEO, Kling AI, and social distribution; reduced content production time by ~70%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SDLC v7.0 ("Claude Code Native") — an AI-first software development methodology covering discovery through post-release monitoring, integrating Claude Code with Figma Make, GitHub, and CI/CD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ScamShield, an AI scam-detection product using an LLM Council (Claude + GPT-4o + Gemini), Weaviate RAG vector memory, IPQS/Twilio phone risk scoring, and Whisper voice transcription — designed for 70–80% gross margins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Directed the vision and specification of a multi-tenant platform spanning documentation, inventory, policy management, assessments, telemetry, advisory intake, DLP, file protection, audit support, client portal access, and AI-assisted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Shaped enterprise architecture patterns: multi-tenant access models, API-driven service design, approval-gated privileged actions, audit trails, evidence capture, and secure AI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Defined AI-assisted capabilities including grounded Q&amp;A with citations, triage and remediation guidance, advisory summarization, policy drafting, runbook generation, safe query generation, and compliance workflow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AI-driven document intelligence to auto-populate complex vendor questionnaires for FINRA-registered broker-dealers — cutting RFP response time from days to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Weaviate and Obsidian.md hybrid memory systems for enterprise AI agents, enabling persistent, curated knowledge retrieval across sessions</w:t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REPRESENTATIVE VALUE TO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660C" w:sz="1"/>
              <w:left w:val="single" w:color="E8660C" w:sz="1"/>
              <w:bottom w:val="single" w:color="E8660C" w:sz="1"/>
              <w:right w:val="single" w:color="E8660C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AI to 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 AI from a vague initiative into an executable roadmap with clear phases, ownership, controls, and ROI logic</w:t>
            </w:r>
          </w:p>
        </w:tc>
      </w:tr>
      <w:tr>
        <w:tc>
          <w:tcPr>
            <w:tcW w:type="dxa" w:w="2400"/>
            <w:tcBorders>
              <w:top w:val="single" w:color="E8660C" w:sz="1"/>
              <w:left w:val="single" w:color="E8660C" w:sz="1"/>
              <w:bottom w:val="single" w:color="E8660C" w:sz="1"/>
              <w:right w:val="single" w:color="E8660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Built for Real Business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solutions that are not just impressive in demos, but usable inside real businesses with security, compliance, and operational constraints</w:t>
            </w:r>
          </w:p>
        </w:tc>
      </w:tr>
      <w:tr>
        <w:tc>
          <w:tcPr>
            <w:tcW w:type="dxa" w:w="2400"/>
            <w:tcBorders>
              <w:top w:val="single" w:color="E8660C" w:sz="1"/>
              <w:left w:val="single" w:color="E8660C" w:sz="1"/>
              <w:bottom w:val="single" w:color="E8660C" w:sz="1"/>
              <w:right w:val="single" w:color="E8660C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Strategy + Implementation Fluency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consulting judgment with hands-on implementation depth, reducing the gap between recommendations and deployment</w:t>
            </w:r>
          </w:p>
        </w:tc>
      </w:tr>
      <w:tr>
        <w:tc>
          <w:tcPr>
            <w:tcW w:type="dxa" w:w="2400"/>
            <w:tcBorders>
              <w:top w:val="single" w:color="E8660C" w:sz="1"/>
              <w:left w:val="single" w:color="E8660C" w:sz="1"/>
              <w:bottom w:val="single" w:color="E8660C" w:sz="1"/>
              <w:right w:val="single" w:color="E8660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60C"/>
                <w:sz w:val="20"/>
                <w:szCs w:val="20"/>
              </w:rPr>
              <w:t xml:space="preserve">Operator Mindset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Bring 25+ years of running a technology business to AI engagements — adoption, workflows, governance, measurable outcomes, and long-term maintainability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SELECTED CONSULTING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AI Strategy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Hands-On Delivery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Security, Operations &amp; Compliance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&amp; Platform Thinking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readiness assessments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Solution &amp; systems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guardrails &amp; approval 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Translating service pain points into software capabilities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Executive workshops &amp; briefings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Implementation planning &amp; sequencing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Least-privilege &amp; RBAC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Defining modules, features, roles &amp; system boundaries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case prioritization &amp; ROI framing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Workflow &amp; prompt/system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Auditable automation &amp;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Balancing business requirements with engineering practicality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Adoption roadmaps &amp; phased rollouts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scoping &amp; API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Evidence-driven compliance support (HIPAA, SOC 2, PCI, GDPR)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 for enterprise scale, multi-tenancy &amp; operational resilience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Governance, risk &amp; operating model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&amp; admin experience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>›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Secure operational tooling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60C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TECHNOLOGY &amp; DOMAIN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/ Automation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(Sonnet/Opus), GPT-4o, Gemini, Whisper  |  MCP Protocol &amp; MCP Apps  |  Claude Code  |  Multi-agent orchestration  |  LLM workflow design  |  Weaviate, Chroma, Pinecone (RAG/vector)  |  Obsidian.md knowledge systems  |  Prompt &amp; system design  |  AI governance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 platforms  |  Enterprise web applications  |  API-first services  |  Backend orchestration  |  Operational admin portals  |  MCP server integration (SEMrush, GA4, Perplexity, Firecrawl, DataForSEO, Asana, Gmail, Google Calendar, TikTok, Bright Data)  |  .NET 8, React, WordPress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control &amp; RBAC  |  Audit trails &amp; secrets handling  |  Compliance evidence workflows  |  HIPAA, PCI DSS, SOC 2, GDPR  |  CrowdStrike endpoint protection  |  DLP-oriented design  |  Vulnerability and posture workflows  |  Zero Trust principles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Cloud &amp; Infrastructure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 |  Microsoft Azure  |  Microsoft 365  |  Private datacenter  |  SD-WAN  |  24/7 managed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Implementation Contexts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operations &amp; managed services  |  Security operations  |  Documentation systems  |  Compliance assessments  |  Monitoring &amp; advisories  |  Client portals  |  Endpoint and site-level tooling  |  SEO automation  |  AI-native SDLC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Engagement Models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Fractional AI CTO/Advisor  |  AI strategy workshops  |  Enterprise roadmap development  |  AI implementation planning  |  AI product/service design  |  Operational automation consulting  |  Security-aware AI workflow design  |  MSP modernization  |  Executive advisory + delivery oversight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INDUSTRIES SERVED</w:t>
      </w:r>
    </w:p>
    <w:p>
      <w:pPr>
        <w:spacing w:after="10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Financial Services &amp; FINRA-Registered Broker-Dealers  •  Healthcare &amp; HIPAA-Regulated Organizations  •  Legal &amp; Professional Services  •  Real Estate &amp; Property Management  •  Technology &amp; SaaS  •  Manufacturing &amp; Distribution  •  Non-Profit &amp; Education  •  Retail &amp; eCommerce</w:t>
      </w:r>
    </w:p>
    <w:p>
      <w:pPr>
        <w:pBdr>
          <w:bottom w:val="single" w:color="E8660C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40" w:before="2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M.S., Electrical Engineering — Systems Engineering Concentration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E8660C"/>
          <w:sz w:val="22"/>
          <w:szCs w:val="22"/>
        </w:rPr>
        <w:t xml:space="preserve">California State University, Fullerton (CSUF)</w:t>
      </w:r>
    </w:p>
    <w:p>
      <w:pPr>
        <w:tabs>
          <w:tab w:val="right" w:pos="9360"/>
        </w:tabs>
        <w:spacing w:after="40" w:before="2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B.S., Physics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E8660C"/>
          <w:sz w:val="22"/>
          <w:szCs w:val="22"/>
        </w:rPr>
        <w:t xml:space="preserve">University of California, Los Angeles (UCLA)</w:t>
      </w:r>
    </w:p>
    <w:p>
      <w:pPr>
        <w:spacing w:after="80" w:before="1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Ongoing professional development through Anthropic, AWS, Microsoft, CrowdStrike, and cybersecurity/compliance certification programs.</w:t>
      </w:r>
    </w:p>
    <w:p>
      <w:pPr>
        <w:pBdr>
          <w:top w:val="single" w:color="E8660C" w:sz="6" w:space="8"/>
        </w:pBdr>
        <w:spacing w:after="0" w:before="32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Client-Facing Positioning Statement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I help organizations identify, design, and implement practical AI solutions that improve operations, strengthen decision-making, and create scalable competitive advantage. My value is not limited to AI ideation — I work across the full lifecycle, from strategy and architecture through hands-on implementation design, governance, and operational rollout.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rjain@technijian.com  |  (949) 379-8499 x201  |  technijian.com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Technijian Corporation  |  technijian.com  |  rjain@technijian.com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Ravi Jain  —  AI Strategy &amp; Implementation Consultant</w:t>
    </w:r>
    <w:r>
      <w:rPr>
        <w:rFonts w:ascii="Arial" w:cs="Arial" w:eastAsia="Arial" w:hAnsi="Arial"/>
        <w:b/>
        <w:bCs/>
        <w:color w:val="E8660C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20" w:hanging="260"/>
      </w:pPr>
      <w:rPr>
        <w:rFonts w:ascii="Arial" w:cs="Arial" w:eastAsia="Arial" w:hAnsi="Arial"/>
        <w:b/>
        <w:bCs/>
        <w:color w:val="E8660C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  <w:rPr>
        <w:rFonts w:ascii="Arial" w:cs="Arial" w:eastAsia="Arial" w:hAnsi="Arial"/>
        <w:color w:val="66666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2026-04-08T00:26:19.859Z</dcterms:created>
  <dcterms:modified xsi:type="dcterms:W3CDTF">2026-04-08T00:26:19.860Z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