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30" w:hRule="exact"/>
        </w:trPr>
        <w:tc>
          <w:tcPr>
            <w:tcW w:type="dxa" w:w="9360"/>
            <w:tcBorders>
              <w:top w:val="none" w:color="FFFFFF" w:sz="0"/>
              <w:left w:val="none" w:color="FFFFFF" w:sz="0"/>
              <w:bottom w:val="none" w:color="FFFFFF" w:sz="0"/>
              <w:right w:val="none" w:color="FFFFFF" w:sz="0"/>
            </w:tcBorders>
            <w:shd w:fill="006DB6" w:val="clear"/>
          </w:tcPr>
          <w:p>
            <w:r>
              <w:t xml:space="preserve"/>
            </w:r>
          </w:p>
        </w:tc>
      </w:tr>
    </w:tbl>
    <w:p>
      <w:pPr>
        <w:keepNext/>
        <w:spacing w:after="0" w:before="220"/>
      </w:pPr>
      <w:r>
        <w:t xml:space="preserve"/>
      </w:r>
    </w:p>
    <w:p>
      <w:pPr>
        <w:jc w:val="center"/>
      </w:pPr>
      <w:r>
        <w:drawing>
          <wp:inline distT="0" distB="0" distL="0" distR="0">
            <wp:extent cx="2381250" cy="495300"/>
            <wp:effectExtent t="0" r="0" b="0" l="0"/>
            <wp:docPr id="1" name="Technijian Logo" descr="Technijian Logo" title="Technij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381250" cy="495300"/>
                    </a:xfrm>
                    <a:prstGeom prst="rect">
                      <a:avLst/>
                    </a:prstGeom>
                  </pic:spPr>
                </pic:pic>
              </a:graphicData>
            </a:graphic>
          </wp:inline>
        </w:drawing>
      </w:r>
    </w:p>
    <w:p>
      <w:pPr>
        <w:keepNext/>
        <w:spacing w:after="0" w:before="200"/>
      </w:pPr>
      <w:r>
        <w:t xml:space="preserve"/>
      </w:r>
    </w:p>
    <w:p>
      <w:pPr>
        <w:spacing w:after="90" w:before="0"/>
        <w:jc w:val="center"/>
      </w:pPr>
      <w:r>
        <w:rPr>
          <w:rFonts w:ascii="Open Sans" w:cs="Open Sans" w:eastAsia="Open Sans" w:hAnsi="Open Sans"/>
          <w:b/>
          <w:bCs/>
          <w:i w:val="false"/>
          <w:iCs w:val="false"/>
          <w:color w:val="F67D4B"/>
          <w:sz w:val="22"/>
          <w:szCs w:val="22"/>
        </w:rPr>
        <w:t xml:space="preserve">EXECUTIVE SUMMARY</w:t>
      </w:r>
    </w:p>
    <w:p>
      <w:pPr>
        <w:spacing w:after="80" w:before="0"/>
        <w:jc w:val="center"/>
      </w:pPr>
      <w:r>
        <w:rPr>
          <w:rFonts w:ascii="Open Sans" w:cs="Open Sans" w:eastAsia="Open Sans" w:hAnsi="Open Sans"/>
          <w:b/>
          <w:bCs/>
          <w:i w:val="false"/>
          <w:iCs w:val="false"/>
          <w:color w:val="1A1A2E"/>
          <w:sz w:val="38"/>
          <w:szCs w:val="38"/>
        </w:rPr>
        <w:t xml:space="preserve">Custom Silicon Solutions</w:t>
      </w:r>
    </w:p>
    <w:p>
      <w:pPr>
        <w:spacing w:after="60"/>
        <w:jc w:val="center"/>
      </w:pPr>
      <w:r>
        <w:rPr>
          <w:rFonts w:ascii="Open Sans" w:cs="Open Sans" w:eastAsia="Open Sans" w:hAnsi="Open Sans"/>
          <w:i/>
          <w:iCs/>
          <w:color w:val="59595B"/>
          <w:sz w:val="21"/>
          <w:szCs w:val="21"/>
        </w:rPr>
        <w:t xml:space="preserve">AI Growth &amp; Integration — be the cited expert engineers find, and design and quote faster</w:t>
      </w:r>
    </w:p>
    <w:p>
      <w:pPr>
        <w:spacing w:after="170"/>
        <w:jc w:val="center"/>
      </w:pPr>
      <w:r>
        <w:rPr>
          <w:rFonts w:ascii="Open Sans" w:cs="Open Sans" w:eastAsia="Open Sans" w:hAnsi="Open Sans"/>
          <w:color w:val="59595B"/>
          <w:sz w:val="17"/>
          <w:szCs w:val="17"/>
        </w:rPr>
        <w:t xml:space="preserve">Prepared for Custom Silicon Solutions  ·  June 26, 2026  ·  Confidential</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F8F9FA" w:val="clear"/>
            <w:tcMar>
              <w:top w:type="dxa" w:w="180"/>
              <w:left w:type="dxa" w:w="70"/>
              <w:bottom w:type="dxa" w:w="180"/>
              <w:right w:type="dxa" w:w="70"/>
            </w:tcMar>
            <w:vAlign w:val="center"/>
          </w:tcPr>
          <w:p>
            <w:pPr>
              <w:spacing w:after="30"/>
              <w:jc w:val="center"/>
            </w:pPr>
            <w:r>
              <w:rPr>
                <w:rFonts w:ascii="Open Sans" w:cs="Open Sans" w:eastAsia="Open Sans" w:hAnsi="Open Sans"/>
                <w:b/>
                <w:bCs/>
                <w:color w:val="006DB6"/>
                <w:sz w:val="32"/>
                <w:szCs w:val="32"/>
              </w:rPr>
              <w:t xml:space="preserve">1996</w:t>
            </w:r>
          </w:p>
          <w:p>
            <w:pPr>
              <w:jc w:val="center"/>
            </w:pPr>
            <w:r>
              <w:rPr>
                <w:rFonts w:ascii="Open Sans" w:cs="Open Sans" w:eastAsia="Open Sans" w:hAnsi="Open Sans"/>
                <w:color w:val="59595B"/>
                <w:sz w:val="15"/>
                <w:szCs w:val="15"/>
              </w:rPr>
              <w:t xml:space="preserve">Designing custom ASICs (~30 years)</w:t>
            </w:r>
          </w:p>
        </w:tc>
        <w:tc>
          <w:tcPr>
            <w:tcW w:type="dxa" w:w="2340"/>
            <w:tcBorders>
              <w:top w:val="none" w:color="FFFFFF" w:sz="0"/>
              <w:left w:val="none" w:color="FFFFFF" w:sz="0"/>
              <w:bottom w:val="none" w:color="FFFFFF" w:sz="0"/>
              <w:right w:val="none" w:color="FFFFFF" w:sz="0"/>
            </w:tcBorders>
            <w:shd w:fill="F8F9FA" w:val="clear"/>
            <w:tcMar>
              <w:top w:type="dxa" w:w="180"/>
              <w:left w:type="dxa" w:w="70"/>
              <w:bottom w:type="dxa" w:w="180"/>
              <w:right w:type="dxa" w:w="70"/>
            </w:tcMar>
            <w:vAlign w:val="center"/>
          </w:tcPr>
          <w:p>
            <w:pPr>
              <w:spacing w:after="30"/>
              <w:jc w:val="center"/>
            </w:pPr>
            <w:r>
              <w:rPr>
                <w:rFonts w:ascii="Open Sans" w:cs="Open Sans" w:eastAsia="Open Sans" w:hAnsi="Open Sans"/>
                <w:b/>
                <w:bCs/>
                <w:color w:val="F67D4B"/>
                <w:sz w:val="32"/>
                <w:szCs w:val="32"/>
              </w:rPr>
              <w:t xml:space="preserve">300+</w:t>
            </w:r>
          </w:p>
          <w:p>
            <w:pPr>
              <w:jc w:val="center"/>
            </w:pPr>
            <w:r>
              <w:rPr>
                <w:rFonts w:ascii="Open Sans" w:cs="Open Sans" w:eastAsia="Open Sans" w:hAnsi="Open Sans"/>
                <w:color w:val="59595B"/>
                <w:sz w:val="15"/>
                <w:szCs w:val="15"/>
              </w:rPr>
              <w:t xml:space="preserve">Tape-outs, 100% success (company-cited)</w:t>
            </w:r>
          </w:p>
        </w:tc>
        <w:tc>
          <w:tcPr>
            <w:tcW w:type="dxa" w:w="2340"/>
            <w:tcBorders>
              <w:top w:val="none" w:color="FFFFFF" w:sz="0"/>
              <w:left w:val="none" w:color="FFFFFF" w:sz="0"/>
              <w:bottom w:val="none" w:color="FFFFFF" w:sz="0"/>
              <w:right w:val="none" w:color="FFFFFF" w:sz="0"/>
            </w:tcBorders>
            <w:shd w:fill="F8F9FA" w:val="clear"/>
            <w:tcMar>
              <w:top w:type="dxa" w:w="180"/>
              <w:left w:type="dxa" w:w="70"/>
              <w:bottom w:type="dxa" w:w="180"/>
              <w:right w:type="dxa" w:w="70"/>
            </w:tcMar>
            <w:vAlign w:val="center"/>
          </w:tcPr>
          <w:p>
            <w:pPr>
              <w:spacing w:after="30"/>
              <w:jc w:val="center"/>
            </w:pPr>
            <w:r>
              <w:rPr>
                <w:rFonts w:ascii="Open Sans" w:cs="Open Sans" w:eastAsia="Open Sans" w:hAnsi="Open Sans"/>
                <w:b/>
                <w:bCs/>
                <w:color w:val="1EAAC8"/>
                <w:sz w:val="32"/>
                <w:szCs w:val="32"/>
              </w:rPr>
              <w:t xml:space="preserve">25+ yrs</w:t>
            </w:r>
          </w:p>
          <w:p>
            <w:pPr>
              <w:jc w:val="center"/>
            </w:pPr>
            <w:r>
              <w:rPr>
                <w:rFonts w:ascii="Open Sans" w:cs="Open Sans" w:eastAsia="Open Sans" w:hAnsi="Open Sans"/>
                <w:color w:val="59595B"/>
                <w:sz w:val="15"/>
                <w:szCs w:val="15"/>
              </w:rPr>
              <w:t xml:space="preserve">Average engineer experience</w:t>
            </w:r>
          </w:p>
        </w:tc>
        <w:tc>
          <w:tcPr>
            <w:tcW w:type="dxa" w:w="2340"/>
            <w:tcBorders>
              <w:top w:val="none" w:color="FFFFFF" w:sz="0"/>
              <w:left w:val="none" w:color="FFFFFF" w:sz="0"/>
              <w:bottom w:val="none" w:color="FFFFFF" w:sz="0"/>
              <w:right w:val="none" w:color="FFFFFF" w:sz="0"/>
            </w:tcBorders>
            <w:shd w:fill="F8F9FA" w:val="clear"/>
            <w:tcMar>
              <w:top w:type="dxa" w:w="180"/>
              <w:left w:type="dxa" w:w="70"/>
              <w:bottom w:type="dxa" w:w="180"/>
              <w:right w:type="dxa" w:w="70"/>
            </w:tcMar>
            <w:vAlign w:val="center"/>
          </w:tcPr>
          <w:p>
            <w:pPr>
              <w:spacing w:after="30"/>
              <w:jc w:val="center"/>
            </w:pPr>
            <w:r>
              <w:rPr>
                <w:rFonts w:ascii="Open Sans" w:cs="Open Sans" w:eastAsia="Open Sans" w:hAnsi="Open Sans"/>
                <w:b/>
                <w:bCs/>
                <w:color w:val="1A1A2E"/>
                <w:sz w:val="32"/>
                <w:szCs w:val="32"/>
              </w:rPr>
              <w:t xml:space="preserve">124</w:t>
            </w:r>
          </w:p>
          <w:p>
            <w:pPr>
              <w:jc w:val="center"/>
            </w:pPr>
            <w:r>
              <w:rPr>
                <w:rFonts w:ascii="Open Sans" w:cs="Open Sans" w:eastAsia="Open Sans" w:hAnsi="Open Sans"/>
                <w:color w:val="59595B"/>
                <w:sz w:val="15"/>
                <w:szCs w:val="15"/>
              </w:rPr>
              <w:t xml:space="preserve">Organic keywords today — the gap</w:t>
            </w:r>
          </w:p>
        </w:tc>
      </w:tr>
    </w:tbl>
    <w:p>
      <w:pPr>
        <w:keepNext/>
        <w:spacing w:after="0" w:before="150"/>
      </w:pPr>
      <w:r>
        <w:t xml:space="preserve"/>
      </w:r>
    </w:p>
    <w:p>
      <w:pPr>
        <w:keepNext w:val="false"/>
        <w:spacing w:after="120" w:before="0" w:line="318"/>
        <w:jc w:val="both"/>
      </w:pPr>
      <w:r>
        <w:rPr>
          <w:rFonts w:ascii="Open Sans" w:cs="Open Sans" w:eastAsia="Open Sans" w:hAnsi="Open Sans"/>
          <w:b w:val="false"/>
          <w:bCs w:val="false"/>
          <w:i w:val="false"/>
          <w:iCs w:val="false"/>
          <w:color w:val="59595B"/>
          <w:sz w:val="22"/>
          <w:szCs w:val="22"/>
        </w:rPr>
        <w:t xml:space="preserve">Custom Silicon Solutions is a fabless, fab-agnostic custom-ASIC house in Irvine, California, designing analog, mixed-signal, high-voltage, and wireless silicon since 1996. It takes a design in at any stage and carries it through design, prototyping, in-house wafer and package test, and production — with engineers averaging 25-plus years and a cited 300-plus tape-outs at 100% success, for industrial, medical, aerospace-and-defense, and consumer customers. That business runs on engineering trust. This summary shows where AI builds on the firm’s real strengths on two fronts, and — because Custom Silicon Solutions already runs My SEO with Technijian — it extends a relationship rather than starting one. It states only verified facts and defers every company-specific number to discovery.</w:t>
      </w:r>
    </w:p>
    <w:p>
      <w:pPr>
        <w:spacing w:after="60" w:before="0" w:line="318"/>
        <w:jc w:val="both"/>
      </w:pPr>
      <w:r>
        <w:rPr>
          <w:rFonts w:ascii="Open Sans" w:cs="Open Sans" w:eastAsia="Open Sans" w:hAnsi="Open Sans"/>
          <w:b/>
          <w:bCs/>
          <w:i w:val="false"/>
          <w:iCs w:val="false"/>
          <w:color w:val="1A1A2E"/>
          <w:sz w:val="22"/>
          <w:szCs w:val="22"/>
        </w:rPr>
        <w:t xml:space="preserve">Win more design wins. </w:t>
      </w:r>
      <w:r>
        <w:rPr>
          <w:rFonts w:ascii="Open Sans" w:cs="Open Sans" w:eastAsia="Open Sans" w:hAnsi="Open Sans"/>
          <w:b w:val="false"/>
          <w:bCs w:val="false"/>
          <w:i w:val="false"/>
          <w:iCs w:val="false"/>
          <w:color w:val="59595B"/>
          <w:sz w:val="22"/>
          <w:szCs w:val="22"/>
        </w:rPr>
        <w:t xml:space="preserve">A design engineer now asks an AI assistant before picking up the phone; AI authority content makes the firm the cited expert that assistant names for a US custom mixed-signal ASIC partner or a drop-in replacement for an obsolete part, while account intelligence and faster RFQ responses help win the programs the business is built on.</w:t>
      </w:r>
      <w:r>
        <w:rPr>
          <w:rFonts w:ascii="Open Sans" w:cs="Open Sans" w:eastAsia="Open Sans" w:hAnsi="Open Sans"/>
          <w:b/>
          <w:bCs/>
          <w:i w:val="false"/>
          <w:iCs w:val="false"/>
          <w:color w:val="1A1A2E"/>
          <w:sz w:val="22"/>
          <w:szCs w:val="22"/>
        </w:rPr>
        <w:t xml:space="preserve">  Design and quote faster. </w:t>
      </w:r>
      <w:r>
        <w:rPr>
          <w:rFonts w:ascii="Open Sans" w:cs="Open Sans" w:eastAsia="Open Sans" w:hAnsi="Open Sans"/>
          <w:b w:val="false"/>
          <w:bCs w:val="false"/>
          <w:i w:val="false"/>
          <w:iCs w:val="false"/>
          <w:color w:val="59595B"/>
          <w:sz w:val="22"/>
          <w:szCs w:val="22"/>
        </w:rPr>
        <w:t xml:space="preserve">AI turns a loose requirement into a spec and an NRE quote, drafts datasheets and test programs, and matches an obsolete part to a drop-in replacement — with a qualified engineer confirming every parameter, and proprietary designs in private, governed systems.</w:t>
      </w:r>
    </w:p>
    <w:p>
      <w:pPr>
        <w:pStyle w:val="Heading2"/>
        <w:keepNext/>
        <w:keepLines/>
        <w:spacing w:after="110" w:before="260"/>
      </w:pPr>
      <w:r>
        <w:rPr>
          <w:rFonts w:ascii="Open Sans" w:cs="Open Sans" w:eastAsia="Open Sans" w:hAnsi="Open Sans"/>
          <w:b/>
          <w:bCs/>
          <w:color w:val="006DB6"/>
          <w:sz w:val="26"/>
          <w:szCs w:val="26"/>
        </w:rPr>
        <w:t xml:space="preserve">What we verified</w:t>
      </w:r>
    </w:p>
    <w:p>
      <w:pPr>
        <w:pStyle w:val="ListParagraph"/>
        <w:numPr>
          <w:ilvl w:val="0"/>
          <w:numId w:val="2"/>
        </w:numPr>
        <w:spacing w:after="70" w:before="30" w:line="296"/>
      </w:pPr>
      <w:r>
        <w:rPr>
          <w:rFonts w:ascii="Open Sans" w:cs="Open Sans" w:eastAsia="Open Sans" w:hAnsi="Open Sans"/>
          <w:b/>
          <w:bCs/>
          <w:color w:val="1A1A2E"/>
          <w:sz w:val="21"/>
          <w:szCs w:val="21"/>
        </w:rPr>
        <w:t xml:space="preserve">A US-based, fab-agnostic custom-ASIC house: </w:t>
      </w:r>
      <w:r>
        <w:rPr>
          <w:rFonts w:ascii="Open Sans" w:cs="Open Sans" w:eastAsia="Open Sans" w:hAnsi="Open Sans"/>
          <w:b w:val="false"/>
          <w:bCs w:val="false"/>
          <w:color w:val="59595B"/>
          <w:sz w:val="21"/>
          <w:szCs w:val="21"/>
        </w:rPr>
        <w:t xml:space="preserve">analog, mixed-signal, high-voltage, and wireless design from a napkin sketch or a finished spec, through an owned, in-house production test floor, to production silicon.</w:t>
      </w:r>
    </w:p>
    <w:p>
      <w:pPr>
        <w:pStyle w:val="ListParagraph"/>
        <w:numPr>
          <w:ilvl w:val="0"/>
          <w:numId w:val="2"/>
        </w:numPr>
        <w:spacing w:after="70" w:before="30" w:line="296"/>
      </w:pPr>
      <w:r>
        <w:rPr>
          <w:rFonts w:ascii="Open Sans" w:cs="Open Sans" w:eastAsia="Open Sans" w:hAnsi="Open Sans"/>
          <w:b/>
          <w:bCs/>
          <w:color w:val="1A1A2E"/>
          <w:sz w:val="21"/>
          <w:szCs w:val="21"/>
        </w:rPr>
        <w:t xml:space="preserve">A genuinely hard-to-copy corner: </w:t>
      </w:r>
      <w:r>
        <w:rPr>
          <w:rFonts w:ascii="Open Sans" w:cs="Open Sans" w:eastAsia="Open Sans" w:hAnsi="Open Sans"/>
          <w:b w:val="false"/>
          <w:bCs w:val="false"/>
          <w:color w:val="59595B"/>
          <w:sz w:val="21"/>
          <w:szCs w:val="21"/>
        </w:rPr>
        <w:t xml:space="preserve">US-domiciled with its own Class-10,000 test clean room, a cited 100% tape-out record, 25+-year engineers, and a drop-in obsolescence-replacement practice few competitors court.</w:t>
      </w:r>
    </w:p>
    <w:p>
      <w:pPr>
        <w:pStyle w:val="ListParagraph"/>
        <w:numPr>
          <w:ilvl w:val="0"/>
          <w:numId w:val="2"/>
        </w:numPr>
        <w:spacing w:after="70" w:before="30" w:line="296"/>
      </w:pPr>
      <w:r>
        <w:rPr>
          <w:rFonts w:ascii="Open Sans" w:cs="Open Sans" w:eastAsia="Open Sans" w:hAnsi="Open Sans"/>
          <w:b/>
          <w:bCs/>
          <w:color w:val="1A1A2E"/>
          <w:sz w:val="21"/>
          <w:szCs w:val="21"/>
        </w:rPr>
        <w:t xml:space="preserve">A real, but quiet, digital front door: </w:t>
      </w:r>
      <w:r>
        <w:rPr>
          <w:rFonts w:ascii="Open Sans" w:cs="Open Sans" w:eastAsia="Open Sans" w:hAnsi="Open Sans"/>
          <w:b w:val="false"/>
          <w:bCs w:val="false"/>
          <w:color w:val="59595B"/>
          <w:sz w:val="21"/>
          <w:szCs w:val="21"/>
        </w:rPr>
        <w:t xml:space="preserve">an active My SEO engagement with roughly 124 organic keywords — tiny against the firm’s capabilities — and near-invisibility to AI search, exactly where buyers now start. The lowest-cost place to grow.</w:t>
      </w:r>
    </w:p>
    <w:p>
      <w:pPr>
        <w:pStyle w:val="ListParagraph"/>
        <w:numPr>
          <w:ilvl w:val="0"/>
          <w:numId w:val="2"/>
        </w:numPr>
        <w:spacing w:after="70" w:before="30" w:line="296"/>
      </w:pPr>
      <w:r>
        <w:rPr>
          <w:rFonts w:ascii="Open Sans" w:cs="Open Sans" w:eastAsia="Open Sans" w:hAnsi="Open Sans"/>
          <w:b/>
          <w:bCs/>
          <w:color w:val="1A1A2E"/>
          <w:sz w:val="21"/>
          <w:szCs w:val="21"/>
        </w:rPr>
        <w:t xml:space="preserve">A small team of veterans: </w:t>
      </w:r>
      <w:r>
        <w:rPr>
          <w:rFonts w:ascii="Open Sans" w:cs="Open Sans" w:eastAsia="Open Sans" w:hAnsi="Open Sans"/>
          <w:b w:val="false"/>
          <w:bCs w:val="false"/>
          <w:color w:val="59595B"/>
          <w:sz w:val="21"/>
          <w:szCs w:val="21"/>
        </w:rPr>
        <w:t xml:space="preserve">deep expertise concentrated in a few long-tenured engineers — making knowledge capture an honest efficiency story, not just a growth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1EAAC8"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50"/>
              <w:left w:type="dxa" w:w="230"/>
              <w:bottom w:type="dxa" w:w="150"/>
              <w:right w:type="dxa" w:w="190"/>
            </w:tcMar>
          </w:tcPr>
          <w:p>
            <w:pPr>
              <w:keepNext/>
              <w:keepLines/>
              <w:spacing w:after="70" w:before="80"/>
            </w:pPr>
            <w:r>
              <w:rPr>
                <w:rFonts w:ascii="Open Sans" w:cs="Open Sans" w:eastAsia="Open Sans" w:hAnsi="Open Sans"/>
                <w:b/>
                <w:bCs/>
                <w:color w:val="1EAAC8"/>
                <w:sz w:val="22"/>
                <w:szCs w:val="22"/>
              </w:rPr>
              <w:t xml:space="preserve">The one idea</w:t>
            </w:r>
          </w:p>
          <w:p>
            <w:pPr>
              <w:keepNext w:val="false"/>
              <w:keepLines/>
              <w:spacing w:after="50" w:before="40" w:line="296"/>
            </w:pPr>
            <w:r>
              <w:rPr>
                <w:rFonts w:ascii="Open Sans" w:cs="Open Sans" w:eastAsia="Open Sans" w:hAnsi="Open Sans"/>
                <w:color w:val="59595B"/>
                <w:sz w:val="20"/>
                <w:szCs w:val="20"/>
              </w:rPr>
              <w:t xml:space="preserve">A design engineer choosing a custom-ASIC partner increasingly starts with an AI assistant, and Custom Silicon Solutions — US-based, fab-agnostic, with its own test floor, a 100% tape-out record, and an obsolescence niche almost nobody else serves — is nearly invisible to that search. The firm already owns a hard-to-copy corner; the gap is that the engineers who need exactly this cannot find it. AI closes that gap on the way in, and takes the repetitive load off the experts once the work begins.</w:t>
            </w:r>
          </w:p>
        </w:tc>
      </w:tr>
    </w:tbl>
    <w:p>
      <w:pPr>
        <w:pStyle w:val="Heading2"/>
        <w:keepNext/>
        <w:keepLines/>
        <w:spacing w:after="110" w:before="260"/>
      </w:pPr>
      <w:r>
        <w:rPr>
          <w:rFonts w:ascii="Open Sans" w:cs="Open Sans" w:eastAsia="Open Sans" w:hAnsi="Open Sans"/>
          <w:b/>
          <w:bCs/>
          <w:color w:val="006DB6"/>
          <w:sz w:val="26"/>
          <w:szCs w:val="26"/>
        </w:rPr>
        <w:t xml:space="preserve">The engine</w:t>
      </w:r>
    </w:p>
    <w:p>
      <w:pPr>
        <w:keepNext/>
        <w:spacing w:after="60" w:before="0" w:line="318"/>
        <w:jc w:val="both"/>
      </w:pPr>
      <w:r>
        <w:rPr>
          <w:rFonts w:ascii="Open Sans" w:cs="Open Sans" w:eastAsia="Open Sans" w:hAnsi="Open Sans"/>
          <w:b w:val="false"/>
          <w:bCs w:val="false"/>
          <w:i w:val="false"/>
          <w:iCs w:val="false"/>
          <w:color w:val="59595B"/>
          <w:sz w:val="22"/>
          <w:szCs w:val="22"/>
        </w:rPr>
        <w:t xml:space="preserve">Three columns: win more design wins, design and quote faster with AI, and automate the engineering back office — each delivered by a specific Technijian service, building on the SEO already in place.</w:t>
      </w:r>
    </w:p>
    <w:p>
      <w:pPr>
        <w:keepNext w:val="false"/>
        <w:spacing w:after="60" w:before="100"/>
        <w:jc w:val="center"/>
      </w:pPr>
      <w:r>
        <w:drawing>
          <wp:inline distT="0" distB="0" distL="0" distR="0">
            <wp:extent cx="4095750" cy="2562225"/>
            <wp:effectExtent t="0" r="0" b="0" l="0"/>
            <wp:docPr id="1" name="AI growth and integration engine" descr="AI growth and integration engine" title="AI growth and integration en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2562225"/>
                    </a:xfrm>
                    <a:prstGeom prst="rect">
                      <a:avLst/>
                    </a:prstGeom>
                  </pic:spPr>
                </pic:pic>
              </a:graphicData>
            </a:graphic>
          </wp:inline>
        </w:drawing>
      </w:r>
    </w:p>
    <w:p>
      <w:pPr>
        <w:pStyle w:val="Heading2"/>
        <w:keepNext/>
        <w:keepLines/>
        <w:spacing w:after="110" w:before="260"/>
      </w:pPr>
      <w:r>
        <w:rPr>
          <w:rFonts w:ascii="Open Sans" w:cs="Open Sans" w:eastAsia="Open Sans" w:hAnsi="Open Sans"/>
          <w:b/>
          <w:bCs/>
          <w:color w:val="006DB6"/>
          <w:sz w:val="26"/>
          <w:szCs w:val="26"/>
        </w:rPr>
        <w:t xml:space="preserve">Investment &amp; the path forward</w:t>
      </w:r>
    </w:p>
    <w:p>
      <w:pPr>
        <w:spacing w:after="100" w:before="0" w:line="318"/>
        <w:jc w:val="both"/>
      </w:pPr>
      <w:r>
        <w:rPr>
          <w:rFonts w:ascii="Open Sans" w:cs="Open Sans" w:eastAsia="Open Sans" w:hAnsi="Open Sans"/>
          <w:b/>
          <w:bCs/>
          <w:i w:val="false"/>
          <w:iCs w:val="false"/>
          <w:color w:val="1A1A2E"/>
          <w:sz w:val="22"/>
          <w:szCs w:val="22"/>
        </w:rPr>
        <w:t xml:space="preserve">No invented numbers. </w:t>
      </w:r>
      <w:r>
        <w:rPr>
          <w:rFonts w:ascii="Open Sans" w:cs="Open Sans" w:eastAsia="Open Sans" w:hAnsi="Open Sans"/>
          <w:b w:val="false"/>
          <w:bCs w:val="false"/>
          <w:i w:val="false"/>
          <w:iCs w:val="false"/>
          <w:color w:val="59595B"/>
          <w:sz w:val="22"/>
          <w:szCs w:val="22"/>
        </w:rPr>
        <w:t xml:space="preserve">We price from real, published service ranges and model ROI only after discovery — on hours recovered per RFQ, datasheet, and test program, faster quote turnaround winning more design wins, and obsolescence searches captured, never a guessed revenue figure. The path is land-and-expand: extend the SEO you run into AI-search authority, prove one automation — RFQ-to-spec drafting or the obsolescence cross-reference is the highest-conviction first build — then scale across the back office.</w:t>
      </w:r>
    </w:p>
    <w:p>
      <w:pPr>
        <w:keepNext w:val="false"/>
        <w:spacing w:after="110" w:before="0" w:line="318"/>
        <w:jc w:val="both"/>
      </w:pPr>
      <w:r>
        <w:rPr>
          <w:rFonts w:ascii="Open Sans" w:cs="Open Sans" w:eastAsia="Open Sans" w:hAnsi="Open Sans"/>
          <w:b w:val="false"/>
          <w:bCs w:val="false"/>
          <w:i w:val="false"/>
          <w:iCs w:val="false"/>
          <w:color w:val="59595B"/>
          <w:sz w:val="22"/>
          <w:szCs w:val="22"/>
        </w:rPr>
        <w:t xml:space="preserve">The easiest first step is a short working session, with no new obligation — or a half-day AI Readiness Assessment that maps your design, RFQ, test, and documentation workflows and returns a prioritised, costed roadmap. We are in Irvine, minutes away. The full blueprint ends with a questionnaire that turns this summary into a costed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50"/>
              <w:left w:type="dxa" w:w="230"/>
              <w:bottom w:type="dxa" w:w="150"/>
              <w:right w:type="dxa" w:w="190"/>
            </w:tcMar>
          </w:tcPr>
          <w:p>
            <w:pPr>
              <w:keepNext/>
              <w:keepLines/>
              <w:spacing w:after="70" w:before="80"/>
            </w:pPr>
            <w:r>
              <w:rPr>
                <w:rFonts w:ascii="Open Sans" w:cs="Open Sans" w:eastAsia="Open Sans" w:hAnsi="Open Sans"/>
                <w:b/>
                <w:bCs/>
                <w:color w:val="006DB6"/>
                <w:sz w:val="22"/>
                <w:szCs w:val="22"/>
              </w:rPr>
              <w:t xml:space="preserve">Start the conversation</w:t>
            </w:r>
          </w:p>
          <w:p>
            <w:pPr>
              <w:keepNext w:val="false"/>
              <w:keepLines/>
              <w:spacing w:after="50" w:before="40" w:line="296"/>
            </w:pPr>
            <w:r>
              <w:rPr>
                <w:rFonts w:ascii="Open Sans" w:cs="Open Sans" w:eastAsia="Open Sans" w:hAnsi="Open Sans"/>
                <w:color w:val="59595B"/>
                <w:sz w:val="20"/>
                <w:szCs w:val="20"/>
              </w:rPr>
              <w:t xml:space="preserve">Ravi Jain, Founder &amp; CEO  ·  rjain@technijian.com  ·  +1 949.379.8499  ·  technijian.com  ·  technology as a solution</w:t>
            </w:r>
          </w:p>
        </w:tc>
      </w:tr>
    </w:tbl>
    <w:sectPr>
      <w:headerReference w:type="default" r:id="rId7"/>
      <w:footerReference w:type="default" r:id="rId8"/>
      <w:pgSz w:w="12240" w:h="15840" w:orient="portrait"/>
      <w:pgMar w:top="1700" w:right="1440" w:bottom="132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60"/>
      <w:jc w:val="center"/>
    </w:pPr>
    <w:r>
      <w:rPr>
        <w:rFonts w:ascii="Open Sans" w:cs="Open Sans" w:eastAsia="Open Sans" w:hAnsi="Open Sans"/>
        <w:b/>
        <w:bCs/>
        <w:color w:val="59595B"/>
        <w:sz w:val="16"/>
        <w:szCs w:val="16"/>
      </w:rPr>
      <w:t xml:space="preserve">Technijian</w:t>
    </w:r>
    <w:r>
      <w:rPr>
        <w:rFonts w:ascii="Open Sans" w:cs="Open Sans" w:eastAsia="Open Sans" w:hAnsi="Open Sans"/>
        <w:color w:val="59595B"/>
        <w:sz w:val="16"/>
        <w:szCs w:val="16"/>
      </w:rPr>
      <w:t xml:space="preserve">  ·  technology as a solution  ·  technijian.com  ·  +1 949.379.8499  ·  CONFIDENTIAL  ·  Page </w:t>
    </w:r>
    <w:r>
      <w:rPr>
        <w:rFonts w:ascii="Open Sans" w:cs="Open Sans" w:eastAsia="Open Sans" w:hAnsi="Open Sans"/>
        <w:color w:val="59595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single" w:color="006DB6" w:sz="6"/>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vAlign w:val="center"/>
        </w:tcPr>
        <w:p>
          <w:r>
            <w:drawing>
              <wp:inline distT="0" distB="0" distL="0" distR="0">
                <wp:extent cx="1181100" cy="247650"/>
                <wp:effectExtent t="0" r="0" b="0" l="0"/>
                <wp:docPr id="1" name="Technijian Logo" descr="Technijian Logo" title="Technij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81100" cy="247650"/>
                        </a:xfrm>
                        <a:prstGeom prst="rect">
                          <a:avLst/>
                        </a:prstGeom>
                      </pic:spPr>
                    </pic:pic>
                  </a:graphicData>
                </a:graphic>
              </wp:inline>
            </w:drawing>
          </w:r>
        </w:p>
      </w:tc>
      <w:tc>
        <w:tcPr>
          <w:tcW w:type="dxa" w:w="4680"/>
          <w:tcBorders>
            <w:top w:val="none" w:color="FFFFFF" w:sz="0"/>
            <w:left w:val="none" w:color="FFFFFF" w:sz="0"/>
            <w:bottom w:val="none" w:color="FFFFFF" w:sz="0"/>
            <w:right w:val="none" w:color="FFFFFF" w:sz="0"/>
          </w:tcBorders>
          <w:vAlign w:val="center"/>
        </w:tcPr>
        <w:p>
          <w:pPr>
            <w:jc w:val="right"/>
          </w:pPr>
          <w:r>
            <w:rPr>
              <w:rFonts w:ascii="Open Sans" w:cs="Open Sans" w:eastAsia="Open Sans" w:hAnsi="Open Sans"/>
              <w:color w:val="59595B"/>
              <w:sz w:val="16"/>
              <w:szCs w:val="16"/>
            </w:rPr>
            <w:t xml:space="preserve">Custom Silicon Solutions  ·  Executive Summary</w:t>
          </w:r>
        </w:p>
      </w:tc>
    </w:tr>
  </w:tbl>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3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color w:val="59595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10" w:before="260"/>
      <w:outlineLvl w:val="1"/>
    </w:pPr>
    <w:rPr>
      <w:rFonts w:ascii="Open Sans" w:cs="Open Sans" w:eastAsia="Open Sans" w:hAnsi="Open Sans"/>
      <w:b/>
      <w:bCs/>
      <w:color w:val="006D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3103d8b7cd0eed7467432b2205de7bc29f677af.png"/><Relationship Id="rId10" Type="http://schemas.openxmlformats.org/officeDocument/2006/relationships/image" Target="media/1256bcfa6ff313c46b7e9035f9d502b9d4a1b291.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f3103d8b7cd0eed7467432b2205de7bc29f677af.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 Silicon Solutions — Executive Summary</dc:title>
  <dc:creator>Technijian</dc:creator>
  <dc:description>Forwardable executive summary for Custom Silicon Solutions, prepared by Technijian.</dc:description>
  <cp:lastModifiedBy>Un-named</cp:lastModifiedBy>
  <cp:revision>1</cp:revision>
  <dcterms:created xsi:type="dcterms:W3CDTF">2026-06-26T17:22:19.549Z</dcterms:created>
  <dcterms:modified xsi:type="dcterms:W3CDTF">2026-06-26T17:22:19.551Z</dcterms:modified>
</cp:coreProperties>
</file>

<file path=docProps/custom.xml><?xml version="1.0" encoding="utf-8"?>
<Properties xmlns="http://schemas.openxmlformats.org/officeDocument/2006/custom-properties" xmlns:vt="http://schemas.openxmlformats.org/officeDocument/2006/docPropsVTypes"/>
</file>