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c>
          <w:tcPr>
            <w:tcW w:type="dxa" w:w="10200"/>
            <w:shd w:fill="1A1A2E" w:val="clear"/>
            <w:tcMar>
              <w:top w:w="2800" w:type="dxa"/>
              <w:bottom w:w="2800" w:type="dxa"/>
              <w:start w:w="300" w:type="dxa"/>
              <w:end w:w="30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Open Sans" w:hAnsi="Open Sans"/>
                <w:b/>
                <w:color w:val="1EAAC8"/>
                <w:sz w:val="20"/>
              </w:rPr>
              <w:t>ENTERPRISE AI PLATFORM</w:t>
            </w:r>
          </w:p>
          <w:p>
            <w:pPr>
              <w:jc w:val="center"/>
            </w:pPr>
            <w:r>
              <w:rPr>
                <w:rFonts w:ascii="Open Sans" w:hAnsi="Open Sans"/>
                <w:b/>
                <w:color w:val="FFFFFF"/>
                <w:sz w:val="80"/>
              </w:rPr>
              <w:t xml:space="preserve">Technijian </w:t>
            </w:r>
            <w:r>
              <w:rPr>
                <w:rFonts w:ascii="Open Sans" w:hAnsi="Open Sans"/>
                <w:b/>
                <w:color w:val="F67D4B"/>
                <w:sz w:val="80"/>
              </w:rPr>
              <w:t>Chat.AI</w:t>
            </w:r>
          </w:p>
          <w:p>
            <w:pPr>
              <w:jc w:val="center"/>
            </w:pPr>
            <w:r>
              <w:rPr>
                <w:rFonts w:ascii="Open Sans" w:hAnsi="Open Sans"/>
                <w:color w:val="A0A0AA"/>
                <w:sz w:val="32"/>
              </w:rPr>
              <w:t>Collective Intelligence for the Modern Enterprise</w:t>
            </w:r>
          </w:p>
          <w:p>
            <w:pPr>
              <w:jc w:val="center"/>
            </w:pPr>
            <w:r>
              <w:rPr>
                <w:rFonts w:ascii="Open Sans" w:hAnsi="Open Sans"/>
                <w:b/>
                <w:color w:val="F67D4B"/>
                <w:sz w:val="20"/>
              </w:rPr>
              <w:t>────────────</w:t>
            </w:r>
          </w:p>
          <w:p>
            <w:pPr>
              <w:jc w:val="center"/>
            </w:pPr>
            <w:r>
              <w:rPr>
                <w:rFonts w:ascii="Open Sans" w:hAnsi="Open Sans"/>
                <w:color w:val="888890"/>
                <w:sz w:val="20"/>
              </w:rPr>
              <w:t>Multi-Model AI  •  Workflow Automation  •  Enterprise Governance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8" w:hRule="exact"/>
        </w:trPr>
        <w:tc>
          <w:tcPr>
            <w:tcW w:type="dxa" w:w="10200"/>
            <w:shd w:fill="1EAAC8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48"/>
        </w:rPr>
        <w:t xml:space="preserve">The Challenge with </w:t>
      </w:r>
      <w:r>
        <w:rPr>
          <w:rFonts w:ascii="Open Sans" w:hAnsi="Open Sans"/>
          <w:b/>
          <w:color w:val="F67D4B"/>
          <w:sz w:val="48"/>
        </w:rPr>
        <w:t>Enterprise AI Today</w:t>
      </w:r>
    </w:p>
    <w:p>
      <w:r>
        <w:rPr>
          <w:rFonts w:ascii="Open Sans" w:hAnsi="Open Sans"/>
          <w:color w:val="59595B"/>
          <w:sz w:val="22"/>
        </w:rPr>
        <w:t>Organizations face real barriers adopting AI at scale. These four challenges prevent teams from realizing the full potential of artificial intelligence.</w:t>
      </w:r>
    </w:p>
    <w:p>
      <w:r>
        <w:rPr>
          <w:rFonts w:ascii="Open Sans" w:hAnsi="Open Sans"/>
          <w:b/>
          <w:color w:val="006DB6"/>
          <w:sz w:val="28"/>
        </w:rPr>
        <w:t>Single-Vendor Lock-In</w:t>
      </w:r>
    </w:p>
    <w:p>
      <w:r>
        <w:rPr>
          <w:rFonts w:ascii="Open Sans" w:hAnsi="Open Sans"/>
          <w:color w:val="59595B"/>
          <w:sz w:val="20"/>
        </w:rPr>
        <w:t>Tying your organization to one AI provider means you inherit their outages, pricing changes, and model limitations.</w:t>
      </w:r>
    </w:p>
    <w:p>
      <w:r>
        <w:rPr>
          <w:rFonts w:ascii="Open Sans" w:hAnsi="Open Sans"/>
          <w:b/>
          <w:color w:val="F67D4B"/>
          <w:sz w:val="22"/>
        </w:rPr>
        <w:t xml:space="preserve">→ </w:t>
      </w:r>
      <w:r>
        <w:rPr>
          <w:rFonts w:ascii="Open Sans" w:hAnsi="Open Sans"/>
          <w:b/>
          <w:color w:val="1A1A2E"/>
          <w:sz w:val="20"/>
        </w:rPr>
        <w:t>Chat.AI orchestrates OpenAI, Anthropic, Google, and Azure simultaneously with automatic failover.</w:t>
      </w:r>
    </w:p>
    <w:p>
      <w:r>
        <w:rPr>
          <w:rFonts w:ascii="Open Sans" w:hAnsi="Open Sans"/>
          <w:b/>
          <w:color w:val="F67D4B"/>
          <w:sz w:val="28"/>
        </w:rPr>
        <w:t>No Cost Visibility</w:t>
      </w:r>
    </w:p>
    <w:p>
      <w:r>
        <w:rPr>
          <w:rFonts w:ascii="Open Sans" w:hAnsi="Open Sans"/>
          <w:color w:val="59595B"/>
          <w:sz w:val="20"/>
        </w:rPr>
        <w:t>ChatGPT Team and Copilot charge flat per-seat fees with no transparency into actual token consumption or model costs.</w:t>
      </w:r>
    </w:p>
    <w:p>
      <w:r>
        <w:rPr>
          <w:rFonts w:ascii="Open Sans" w:hAnsi="Open Sans"/>
          <w:b/>
          <w:color w:val="F67D4B"/>
          <w:sz w:val="22"/>
        </w:rPr>
        <w:t xml:space="preserve">→ </w:t>
      </w:r>
      <w:r>
        <w:rPr>
          <w:rFonts w:ascii="Open Sans" w:hAnsi="Open Sans"/>
          <w:b/>
          <w:color w:val="1A1A2E"/>
          <w:sz w:val="20"/>
        </w:rPr>
        <w:t>Per-call cost attribution, prepaid budgets, and overage alerts give you complete financial control.</w:t>
      </w:r>
    </w:p>
    <w:p>
      <w:r>
        <w:rPr>
          <w:rFonts w:ascii="Open Sans" w:hAnsi="Open Sans"/>
          <w:b/>
          <w:color w:val="1EAAC8"/>
          <w:sz w:val="28"/>
        </w:rPr>
        <w:t>Hallucinations &amp; Unreliable Output</w:t>
      </w:r>
    </w:p>
    <w:p>
      <w:r>
        <w:rPr>
          <w:rFonts w:ascii="Open Sans" w:hAnsi="Open Sans"/>
          <w:color w:val="59595B"/>
          <w:sz w:val="20"/>
        </w:rPr>
        <w:t>Single-model responses have no checks or balances. Users can't tell when the AI is confidently wrong.</w:t>
      </w:r>
    </w:p>
    <w:p>
      <w:r>
        <w:rPr>
          <w:rFonts w:ascii="Open Sans" w:hAnsi="Open Sans"/>
          <w:b/>
          <w:color w:val="F67D4B"/>
          <w:sz w:val="22"/>
        </w:rPr>
        <w:t xml:space="preserve">→ </w:t>
      </w:r>
      <w:r>
        <w:rPr>
          <w:rFonts w:ascii="Open Sans" w:hAnsi="Open Sans"/>
          <w:b/>
          <w:color w:val="1A1A2E"/>
          <w:sz w:val="20"/>
        </w:rPr>
        <w:t>AI Council deliberation across 3+ models reduces hallucinations by over 30% with consensus validation.</w:t>
      </w:r>
    </w:p>
    <w:p>
      <w:r>
        <w:rPr>
          <w:rFonts w:ascii="Open Sans" w:hAnsi="Open Sans"/>
          <w:b/>
          <w:color w:val="1A1A2E"/>
          <w:sz w:val="28"/>
        </w:rPr>
        <w:t>Security &amp; Compliance Gaps</w:t>
      </w:r>
    </w:p>
    <w:p>
      <w:r>
        <w:rPr>
          <w:rFonts w:ascii="Open Sans" w:hAnsi="Open Sans"/>
          <w:color w:val="59595B"/>
          <w:sz w:val="20"/>
        </w:rPr>
        <w:t>Consumer AI tools lack tenant isolation, audit trails, and the controls required for regulated industries.</w:t>
      </w:r>
    </w:p>
    <w:p>
      <w:r>
        <w:rPr>
          <w:rFonts w:ascii="Open Sans" w:hAnsi="Open Sans"/>
          <w:b/>
          <w:color w:val="F67D4B"/>
          <w:sz w:val="22"/>
        </w:rPr>
        <w:t xml:space="preserve">→ </w:t>
      </w:r>
      <w:r>
        <w:rPr>
          <w:rFonts w:ascii="Open Sans" w:hAnsi="Open Sans"/>
          <w:b/>
          <w:color w:val="1A1A2E"/>
          <w:sz w:val="20"/>
        </w:rPr>
        <w:t>Row-level security, stored-procedure-only data access, full audit logging, and HIPAA/SOC 2 architecture.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8" w:hRule="exact"/>
        </w:trPr>
        <w:tc>
          <w:tcPr>
            <w:tcW w:type="dxa" w:w="10200"/>
            <w:shd w:fill="006DB6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48"/>
        </w:rPr>
        <w:t xml:space="preserve">Platform </w:t>
      </w:r>
      <w:r>
        <w:rPr>
          <w:rFonts w:ascii="Open Sans" w:hAnsi="Open Sans"/>
          <w:b/>
          <w:color w:val="F67D4B"/>
          <w:sz w:val="48"/>
        </w:rPr>
        <w:t>Capabilities</w:t>
      </w:r>
    </w:p>
    <w:p>
      <w:r>
        <w:rPr>
          <w:rFonts w:ascii="Open Sans" w:hAnsi="Open Sans"/>
          <w:color w:val="59595B"/>
          <w:sz w:val="22"/>
        </w:rPr>
        <w:t>Everything your organization needs to adopt AI securely and effectively.</w:t>
      </w:r>
    </w:p>
    <w:p>
      <w:r>
        <w:rPr>
          <w:rFonts w:ascii="Open Sans" w:hAnsi="Open Sans"/>
          <w:b/>
          <w:color w:val="006DB6"/>
          <w:sz w:val="26"/>
        </w:rPr>
        <w:t>⚙ Multi-Model Chat</w:t>
      </w:r>
    </w:p>
    <w:p>
      <w:r>
        <w:rPr>
          <w:rFonts w:ascii="Open Sans" w:hAnsi="Open Sans"/>
          <w:color w:val="59595B"/>
          <w:sz w:val="20"/>
        </w:rPr>
        <w:t>Conversational AI powered by GPT-4o, Claude Sonnet, Gemini Pro, and more.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Switch models mid-conversation or let the platform route automatically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Streaming responses with file attachments &amp; analysis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Thread sharing with permissions, export &amp; history</w:t>
      </w:r>
    </w:p>
    <w:p/>
    <w:p>
      <w:r>
        <w:rPr>
          <w:rFonts w:ascii="Open Sans" w:hAnsi="Open Sans"/>
          <w:b/>
          <w:color w:val="F67D4B"/>
          <w:sz w:val="26"/>
        </w:rPr>
        <w:t>★ Custom AI Assistants</w:t>
      </w:r>
    </w:p>
    <w:p>
      <w:r>
        <w:rPr>
          <w:rFonts w:ascii="Open Sans" w:hAnsi="Open Sans"/>
          <w:color w:val="59595B"/>
          <w:sz w:val="20"/>
        </w:rPr>
        <w:t>Create purpose-built AI assistants with custom system instructions.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Per-assistant model selection and connector integrations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REST, GraphQL, and database connectors attachable to assistants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Shared or private assistants, MyGPTs for personal productivity</w:t>
      </w:r>
    </w:p>
    <w:p/>
    <w:p>
      <w:r>
        <w:rPr>
          <w:rFonts w:ascii="Open Sans" w:hAnsi="Open Sans"/>
          <w:b/>
          <w:color w:val="1EAAC8"/>
          <w:sz w:val="26"/>
        </w:rPr>
        <w:t>📂 Projects &amp; Workspaces</w:t>
      </w:r>
    </w:p>
    <w:p>
      <w:r>
        <w:rPr>
          <w:rFonts w:ascii="Open Sans" w:hAnsi="Open Sans"/>
          <w:color w:val="59595B"/>
          <w:sz w:val="20"/>
        </w:rPr>
        <w:t>Organize chats, files, and instructions into project containers.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Project-level system prompts inherited across all chats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Shared files &amp; organizational knowledge base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Granular view/edit permissions with cross-chat context</w:t>
      </w:r>
    </w:p>
    <w:p/>
    <w:p>
      <w:r>
        <w:rPr>
          <w:rFonts w:ascii="Open Sans" w:hAnsi="Open Sans"/>
          <w:b/>
          <w:color w:val="1A1A2E"/>
          <w:sz w:val="26"/>
        </w:rPr>
        <w:t>⚡ Workflow Automation</w:t>
      </w:r>
    </w:p>
    <w:p>
      <w:r>
        <w:rPr>
          <w:rFonts w:ascii="Open Sans" w:hAnsi="Open Sans"/>
          <w:color w:val="59595B"/>
          <w:sz w:val="20"/>
        </w:rPr>
        <w:t>Trigger N8N workflows directly from chat context.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Chat-initiated workflow triggers with parameter extraction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Multi-step business process execution from conversation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Run tracking, retry mechanisms, and cost attribution per workflow</w:t>
      </w:r>
    </w:p>
    <w:p/>
    <w:p>
      <w:r>
        <w:rPr>
          <w:rFonts w:ascii="Open Sans" w:hAnsi="Open Sans"/>
          <w:b/>
          <w:color w:val="8BA82E"/>
          <w:sz w:val="26"/>
        </w:rPr>
        <w:t>📈 Knowledge &amp; Memory</w:t>
      </w:r>
    </w:p>
    <w:p>
      <w:r>
        <w:rPr>
          <w:rFonts w:ascii="Open Sans" w:hAnsi="Open Sans"/>
          <w:color w:val="59595B"/>
          <w:sz w:val="20"/>
        </w:rPr>
        <w:t>Upload documents and give AI persistent organizational memory.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Weaviate, Pinecone, or Chroma vector stores per tenant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File vectorization, embedding, and semantic search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Retrieval-augmented generation (RAG) capabilities</w:t>
      </w:r>
    </w:p>
    <w:p/>
    <w:p>
      <w:r>
        <w:rPr>
          <w:rFonts w:ascii="Open Sans" w:hAnsi="Open Sans"/>
          <w:b/>
          <w:color w:val="006DB6"/>
          <w:sz w:val="26"/>
        </w:rPr>
        <w:t>💰 Billing &amp; Cost Controls</w:t>
      </w:r>
    </w:p>
    <w:p>
      <w:r>
        <w:rPr>
          <w:rFonts w:ascii="Open Sans" w:hAnsi="Open Sans"/>
          <w:color w:val="59595B"/>
          <w:sz w:val="20"/>
        </w:rPr>
        <w:t>Prepaid balance model with token-level metering.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Per-call, per-user, and per-model cost attribution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Budget alerts at 75% and 100% thresholds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Invoice generation and billing period management</w:t>
      </w:r>
    </w:p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c>
          <w:tcPr>
            <w:tcW w:type="dxa" w:w="10200"/>
            <w:shd w:fill="1A1A2E" w:val="clear"/>
            <w:tcMar>
              <w:top w:w="350" w:type="dxa"/>
              <w:bottom w:w="350" w:type="dxa"/>
              <w:start w:w="300" w:type="dxa"/>
              <w:end w:w="300" w:type="dxa"/>
            </w:tcMar>
          </w:tcPr>
          <w:p>
            <w:r/>
            <w:r>
              <w:rPr>
                <w:rFonts w:ascii="Open Sans" w:hAnsi="Open Sans"/>
                <w:b/>
                <w:color w:val="F67D4B"/>
                <w:sz w:val="18"/>
              </w:rPr>
              <w:t>PATENT PENDING</w:t>
            </w:r>
          </w:p>
          <w:p>
            <w:r>
              <w:rPr>
                <w:rFonts w:ascii="Open Sans" w:hAnsi="Open Sans"/>
                <w:b/>
                <w:color w:val="FFFFFF"/>
                <w:sz w:val="52"/>
              </w:rPr>
              <w:t xml:space="preserve">AI Council — </w:t>
            </w:r>
            <w:r>
              <w:rPr>
                <w:rFonts w:ascii="Open Sans" w:hAnsi="Open Sans"/>
                <w:b/>
                <w:color w:val="F67D4B"/>
                <w:sz w:val="52"/>
              </w:rPr>
              <w:t>Collective Intelligence</w:t>
            </w:r>
          </w:p>
          <w:p>
            <w:r>
              <w:rPr>
                <w:rFonts w:ascii="Open Sans" w:hAnsi="Open Sans"/>
                <w:color w:val="A0A0AA"/>
                <w:sz w:val="21"/>
              </w:rPr>
              <w:t>The industry's first multi-agent deliberation system. Instead of trusting a single AI model's opinion, Chat.AI convenes a council of 3+ diverse models through a structured 3-stage pipeline — delivering answers that are more accurate, more balanced, and dramatically less prone to hallucination.</w:t>
            </w:r>
          </w:p>
          <w:p>
            <w:r>
              <w:rPr>
                <w:rFonts w:ascii="Open Sans" w:hAnsi="Open Sans"/>
                <w:b/>
                <w:color w:val="F67D4B"/>
                <w:sz w:val="24"/>
              </w:rPr>
              <w:t>1. Divergence</w:t>
            </w:r>
            <w:r>
              <w:rPr>
                <w:rFonts w:ascii="Open Sans" w:hAnsi="Open Sans"/>
                <w:color w:val="B0B0B8"/>
                <w:sz w:val="19"/>
              </w:rPr>
              <w:br/>
              <w:t>Your query is routed to 3+ AI models in parallel. Each model responds independently with no knowledge of the others.</w:t>
            </w:r>
          </w:p>
          <w:p>
            <w:r>
              <w:rPr>
                <w:rFonts w:ascii="Open Sans" w:hAnsi="Open Sans"/>
                <w:b/>
                <w:color w:val="F67D4B"/>
                <w:sz w:val="24"/>
              </w:rPr>
              <w:t>2. Convergence</w:t>
            </w:r>
            <w:r>
              <w:rPr>
                <w:rFonts w:ascii="Open Sans" w:hAnsi="Open Sans"/>
                <w:color w:val="B0B0B8"/>
                <w:sz w:val="19"/>
              </w:rPr>
              <w:br/>
              <w:t>Responses are anonymized (model names stripped to prevent sycophancy) and peer-reviewed for semantic similarity, with mandatory dissent encouraged.</w:t>
            </w:r>
          </w:p>
          <w:p>
            <w:r>
              <w:rPr>
                <w:rFonts w:ascii="Open Sans" w:hAnsi="Open Sans"/>
                <w:b/>
                <w:color w:val="F67D4B"/>
                <w:sz w:val="24"/>
              </w:rPr>
              <w:t>3. Synthesis</w:t>
            </w:r>
            <w:r>
              <w:rPr>
                <w:rFonts w:ascii="Open Sans" w:hAnsi="Open Sans"/>
                <w:color w:val="B0B0B8"/>
                <w:sz w:val="19"/>
              </w:rPr>
              <w:br/>
              <w:t>The highest-performing model (auto-selected chairman) synthesizes a consensus response using Bayesian weighting and correlation analysis.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550"/>
              <w:gridCol w:w="2550"/>
              <w:gridCol w:w="2550"/>
              <w:gridCol w:w="2550"/>
            </w:tblGrid>
            <w:tr>
              <w:tc>
                <w:tcPr>
                  <w:tcW w:type="dxa" w:w="2550"/>
                  <w:shd w:fill="2A2A4E" w:val="clear"/>
                  <w:tcMar>
                    <w:top w:w="70" w:type="dxa"/>
                    <w:bottom w:w="70" w:type="dxa"/>
                    <w:start w:w="30" w:type="dxa"/>
                    <w:end w:w="3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Open Sans" w:hAnsi="Open Sans"/>
                      <w:b/>
                      <w:color w:val="1EAAC8"/>
                      <w:sz w:val="40"/>
                    </w:rPr>
                    <w:t>&gt;60%</w:t>
                  </w:r>
                  <w:r>
                    <w:rPr>
                      <w:rFonts w:ascii="Open Sans" w:hAnsi="Open Sans"/>
                      <w:color w:val="888890"/>
                      <w:sz w:val="15"/>
                    </w:rPr>
                    <w:br/>
                    <w:t>Win Rate vs</w:t>
                    <w:br/>
                    <w:t>Single Models</w:t>
                  </w:r>
                </w:p>
              </w:tc>
              <w:tc>
                <w:tcPr>
                  <w:tcW w:type="dxa" w:w="2550"/>
                  <w:shd w:fill="2A2A4E" w:val="clear"/>
                  <w:tcMar>
                    <w:top w:w="70" w:type="dxa"/>
                    <w:bottom w:w="70" w:type="dxa"/>
                    <w:start w:w="30" w:type="dxa"/>
                    <w:end w:w="3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Open Sans" w:hAnsi="Open Sans"/>
                      <w:b/>
                      <w:color w:val="1EAAC8"/>
                      <w:sz w:val="40"/>
                    </w:rPr>
                    <w:t>&gt;30%</w:t>
                  </w:r>
                  <w:r>
                    <w:rPr>
                      <w:rFonts w:ascii="Open Sans" w:hAnsi="Open Sans"/>
                      <w:color w:val="888890"/>
                      <w:sz w:val="15"/>
                    </w:rPr>
                    <w:br/>
                    <w:t>Hallucination</w:t>
                    <w:br/>
                    <w:t>Reduction</w:t>
                  </w:r>
                </w:p>
              </w:tc>
              <w:tc>
                <w:tcPr>
                  <w:tcW w:type="dxa" w:w="2550"/>
                  <w:shd w:fill="2A2A4E" w:val="clear"/>
                  <w:tcMar>
                    <w:top w:w="70" w:type="dxa"/>
                    <w:bottom w:w="70" w:type="dxa"/>
                    <w:start w:w="30" w:type="dxa"/>
                    <w:end w:w="3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Open Sans" w:hAnsi="Open Sans"/>
                      <w:b/>
                      <w:color w:val="1EAAC8"/>
                      <w:sz w:val="40"/>
                    </w:rPr>
                    <w:t>3+</w:t>
                  </w:r>
                  <w:r>
                    <w:rPr>
                      <w:rFonts w:ascii="Open Sans" w:hAnsi="Open Sans"/>
                      <w:color w:val="888890"/>
                      <w:sz w:val="15"/>
                    </w:rPr>
                    <w:br/>
                    <w:t>Models Per</w:t>
                    <w:br/>
                    <w:t>Deliberation</w:t>
                  </w:r>
                </w:p>
              </w:tc>
              <w:tc>
                <w:tcPr>
                  <w:tcW w:type="dxa" w:w="2550"/>
                  <w:shd w:fill="2A2A4E" w:val="clear"/>
                  <w:tcMar>
                    <w:top w:w="70" w:type="dxa"/>
                    <w:bottom w:w="70" w:type="dxa"/>
                    <w:start w:w="30" w:type="dxa"/>
                    <w:end w:w="3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Open Sans" w:hAnsi="Open Sans"/>
                      <w:b/>
                      <w:color w:val="1EAAC8"/>
                      <w:sz w:val="40"/>
                    </w:rPr>
                    <w:t>100%</w:t>
                  </w:r>
                  <w:r>
                    <w:rPr>
                      <w:rFonts w:ascii="Open Sans" w:hAnsi="Open Sans"/>
                      <w:color w:val="888890"/>
                      <w:sz w:val="15"/>
                    </w:rPr>
                    <w:br/>
                    <w:t>Anonymized</w:t>
                    <w:br/>
                    <w:t>Peer Review</w:t>
                  </w:r>
                </w:p>
              </w:tc>
            </w:tr>
          </w:tbl>
          <w:p/>
          <w:p>
            <w:r>
              <w:rPr>
                <w:rFonts w:ascii="Open Sans" w:hAnsi="Open Sans"/>
                <w:b/>
                <w:color w:val="888890"/>
                <w:sz w:val="18"/>
              </w:rPr>
              <w:t xml:space="preserve">Supported: </w:t>
            </w:r>
            <w:r>
              <w:rPr>
                <w:rFonts w:ascii="Open Sans" w:hAnsi="Open Sans"/>
                <w:color w:val="A0A0AA"/>
                <w:sz w:val="18"/>
              </w:rPr>
              <w:t>GPT-4o  •  Claude Sonnet  •  Gemini Pro  •  GPT-4o mini  •  Claude Haiku  •  Gemini Flash  •  Claude Opus  •  Azure OpenAI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8" w:hRule="exact"/>
        </w:trPr>
        <w:tc>
          <w:tcPr>
            <w:tcW w:type="dxa" w:w="10200"/>
            <w:shd w:fill="F67D4B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48"/>
        </w:rPr>
        <w:t xml:space="preserve">Who Uses </w:t>
      </w:r>
      <w:r>
        <w:rPr>
          <w:rFonts w:ascii="Open Sans" w:hAnsi="Open Sans"/>
          <w:b/>
          <w:color w:val="F67D4B"/>
          <w:sz w:val="48"/>
        </w:rPr>
        <w:t>Chat.AI</w:t>
      </w:r>
    </w:p>
    <w:p>
      <w:r>
        <w:rPr>
          <w:rFonts w:ascii="Open Sans" w:hAnsi="Open Sans"/>
          <w:color w:val="59595B"/>
          <w:sz w:val="22"/>
        </w:rPr>
        <w:t>Organizations across industries trust Chat.AI for secure, intelligent AI adoption.</w:t>
      </w:r>
    </w:p>
    <w:p>
      <w:r>
        <w:rPr>
          <w:rFonts w:ascii="Open Sans" w:hAnsi="Open Sans"/>
          <w:b/>
          <w:color w:val="006DB6"/>
          <w:sz w:val="24"/>
        </w:rPr>
        <w:t>Legal Firm • 25 Users</w:t>
      </w:r>
    </w:p>
    <w:p>
      <w:r>
        <w:rPr>
          <w:rFonts w:ascii="Open Sans" w:hAnsi="Open Sans"/>
          <w:b/>
          <w:color w:val="1A1A2E"/>
          <w:sz w:val="20"/>
        </w:rPr>
        <w:t xml:space="preserve">Challenge: </w:t>
      </w:r>
      <w:r>
        <w:rPr>
          <w:rFonts w:ascii="Open Sans" w:hAnsi="Open Sans"/>
          <w:color w:val="59595B"/>
          <w:sz w:val="20"/>
        </w:rPr>
        <w:t>Needed multi-model AI for contract review with strict audit compliance requirements.</w:t>
      </w:r>
    </w:p>
    <w:p>
      <w:r>
        <w:rPr>
          <w:rFonts w:ascii="Open Sans" w:hAnsi="Open Sans"/>
          <w:b/>
          <w:color w:val="1A1A2E"/>
          <w:sz w:val="20"/>
        </w:rPr>
        <w:t xml:space="preserve">Solution: </w:t>
      </w:r>
      <w:r>
        <w:rPr>
          <w:rFonts w:ascii="Open Sans" w:hAnsi="Open Sans"/>
          <w:color w:val="59595B"/>
          <w:sz w:val="20"/>
        </w:rPr>
        <w:t>AI Council consensus reduced review errors by 40%. Full audit trail satisfies compliance auditors. Multiple model perspectives catch contract risks a single model misses.</w:t>
      </w:r>
    </w:p>
    <w:p>
      <w:r>
        <w:rPr>
          <w:rFonts w:ascii="Open Sans" w:hAnsi="Open Sans"/>
          <w:b/>
          <w:color w:val="1A1A2E"/>
          <w:sz w:val="20"/>
        </w:rPr>
        <w:t xml:space="preserve">Result: </w:t>
      </w:r>
      <w:r>
        <w:rPr>
          <w:rFonts w:ascii="Open Sans" w:hAnsi="Open Sans"/>
          <w:b/>
          <w:color w:val="1EAAC8"/>
          <w:sz w:val="32"/>
        </w:rPr>
        <w:t>40%</w:t>
      </w:r>
      <w:r>
        <w:rPr>
          <w:rFonts w:ascii="Open Sans" w:hAnsi="Open Sans"/>
          <w:color w:val="59595B"/>
          <w:sz w:val="20"/>
        </w:rPr>
        <w:t xml:space="preserve">  Reduction in Review Errors</w:t>
      </w:r>
    </w:p>
    <w:p>
      <w:r>
        <w:rPr>
          <w:rFonts w:ascii="Open Sans" w:hAnsi="Open Sans"/>
          <w:b/>
          <w:color w:val="F67D4B"/>
          <w:sz w:val="24"/>
        </w:rPr>
        <w:t>Healthcare Provider • 100 Users</w:t>
      </w:r>
    </w:p>
    <w:p>
      <w:r>
        <w:rPr>
          <w:rFonts w:ascii="Open Sans" w:hAnsi="Open Sans"/>
          <w:b/>
          <w:color w:val="1A1A2E"/>
          <w:sz w:val="20"/>
        </w:rPr>
        <w:t xml:space="preserve">Challenge: </w:t>
      </w:r>
      <w:r>
        <w:rPr>
          <w:rFonts w:ascii="Open Sans" w:hAnsi="Open Sans"/>
          <w:color w:val="59595B"/>
          <w:sz w:val="20"/>
        </w:rPr>
        <w:t>Required HIPAA-compliant AI for clinical Q&amp;A without sending patient data to third-party clouds.</w:t>
      </w:r>
    </w:p>
    <w:p>
      <w:r>
        <w:rPr>
          <w:rFonts w:ascii="Open Sans" w:hAnsi="Open Sans"/>
          <w:b/>
          <w:color w:val="1A1A2E"/>
          <w:sz w:val="20"/>
        </w:rPr>
        <w:t xml:space="preserve">Solution: </w:t>
      </w:r>
      <w:r>
        <w:rPr>
          <w:rFonts w:ascii="Open Sans" w:hAnsi="Open Sans"/>
          <w:color w:val="59595B"/>
          <w:sz w:val="20"/>
        </w:rPr>
        <w:t>On-premise deployment with row-level security keeps data in-house. Cost controls prevented budget overruns. Clinical staff access AI without compliance risk.</w:t>
      </w:r>
    </w:p>
    <w:p>
      <w:r>
        <w:rPr>
          <w:rFonts w:ascii="Open Sans" w:hAnsi="Open Sans"/>
          <w:b/>
          <w:color w:val="1A1A2E"/>
          <w:sz w:val="20"/>
        </w:rPr>
        <w:t xml:space="preserve">Result: </w:t>
      </w:r>
      <w:r>
        <w:rPr>
          <w:rFonts w:ascii="Open Sans" w:hAnsi="Open Sans"/>
          <w:b/>
          <w:color w:val="1EAAC8"/>
          <w:sz w:val="32"/>
        </w:rPr>
        <w:t>$0</w:t>
      </w:r>
      <w:r>
        <w:rPr>
          <w:rFonts w:ascii="Open Sans" w:hAnsi="Open Sans"/>
          <w:color w:val="59595B"/>
          <w:sz w:val="20"/>
        </w:rPr>
        <w:t xml:space="preserve">  Compliance Violations</w:t>
      </w:r>
    </w:p>
    <w:p>
      <w:r>
        <w:rPr>
          <w:rFonts w:ascii="Open Sans" w:hAnsi="Open Sans"/>
          <w:b/>
          <w:color w:val="1EAAC8"/>
          <w:sz w:val="24"/>
        </w:rPr>
        <w:t>Financial Services • 500 Users</w:t>
      </w:r>
    </w:p>
    <w:p>
      <w:r>
        <w:rPr>
          <w:rFonts w:ascii="Open Sans" w:hAnsi="Open Sans"/>
          <w:b/>
          <w:color w:val="1A1A2E"/>
          <w:sz w:val="20"/>
        </w:rPr>
        <w:t xml:space="preserve">Challenge: </w:t>
      </w:r>
      <w:r>
        <w:rPr>
          <w:rFonts w:ascii="Open Sans" w:hAnsi="Open Sans"/>
          <w:color w:val="59595B"/>
          <w:sz w:val="20"/>
        </w:rPr>
        <w:t>Was paying for 5 separate AI tools, workflow platforms, and vector databases with no unified cost visibility.</w:t>
      </w:r>
    </w:p>
    <w:p>
      <w:r>
        <w:rPr>
          <w:rFonts w:ascii="Open Sans" w:hAnsi="Open Sans"/>
          <w:b/>
          <w:color w:val="1A1A2E"/>
          <w:sz w:val="20"/>
        </w:rPr>
        <w:t xml:space="preserve">Solution: </w:t>
      </w:r>
      <w:r>
        <w:rPr>
          <w:rFonts w:ascii="Open Sans" w:hAnsi="Open Sans"/>
          <w:color w:val="59595B"/>
          <w:sz w:val="20"/>
        </w:rPr>
        <w:t>Consolidated to single platform with Chat.AI Enterprise. Token-level metering replaced guesswork. 50% fewer vendor contracts to manage.</w:t>
      </w:r>
    </w:p>
    <w:p>
      <w:r>
        <w:rPr>
          <w:rFonts w:ascii="Open Sans" w:hAnsi="Open Sans"/>
          <w:b/>
          <w:color w:val="1A1A2E"/>
          <w:sz w:val="20"/>
        </w:rPr>
        <w:t xml:space="preserve">Result: </w:t>
      </w:r>
      <w:r>
        <w:rPr>
          <w:rFonts w:ascii="Open Sans" w:hAnsi="Open Sans"/>
          <w:b/>
          <w:color w:val="1EAAC8"/>
          <w:sz w:val="32"/>
        </w:rPr>
        <w:t>$174K</w:t>
      </w:r>
      <w:r>
        <w:rPr>
          <w:rFonts w:ascii="Open Sans" w:hAnsi="Open Sans"/>
          <w:color w:val="59595B"/>
          <w:sz w:val="20"/>
        </w:rPr>
        <w:t xml:space="preserve">  Annual Savings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8" w:hRule="exact"/>
        </w:trPr>
        <w:tc>
          <w:tcPr>
            <w:tcW w:type="dxa" w:w="10200"/>
            <w:shd w:fill="1EAAC8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48"/>
        </w:rPr>
        <w:t xml:space="preserve">Simple, </w:t>
      </w:r>
      <w:r>
        <w:rPr>
          <w:rFonts w:ascii="Open Sans" w:hAnsi="Open Sans"/>
          <w:b/>
          <w:color w:val="F67D4B"/>
          <w:sz w:val="48"/>
        </w:rPr>
        <w:t>Transparent Pricing</w:t>
      </w:r>
    </w:p>
    <w:p>
      <w:r>
        <w:rPr>
          <w:rFonts w:ascii="Open Sans" w:hAnsi="Open Sans"/>
          <w:color w:val="59595B"/>
          <w:sz w:val="22"/>
        </w:rPr>
        <w:t>No hidden fees. No per-seat surprises. Annual plans save 17%.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A1A2E" w:val="clea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</w:r>
          </w:p>
        </w:tc>
        <w:tc>
          <w:tcPr>
            <w:tcW w:type="dxa" w:w="2040"/>
            <w:shd w:fill="1A1A2E" w:val="clea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Starter</w:t>
            </w:r>
          </w:p>
        </w:tc>
        <w:tc>
          <w:tcPr>
            <w:tcW w:type="dxa" w:w="2040"/>
            <w:shd w:fill="1A1A2E" w:val="clea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Growth</w:t>
            </w:r>
          </w:p>
        </w:tc>
        <w:tc>
          <w:tcPr>
            <w:tcW w:type="dxa" w:w="2040"/>
            <w:shd w:fill="006DB6" w:val="clea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Professional ★</w:t>
            </w:r>
          </w:p>
        </w:tc>
        <w:tc>
          <w:tcPr>
            <w:tcW w:type="dxa" w:w="2040"/>
            <w:shd w:fill="1A1A2E" w:val="clea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Enterprise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Monthly Price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$299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$899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$1,699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Custom (from $3,999)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Annual Price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$2,990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$8,990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$16,990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Custom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Users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10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50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100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250 – 1,000+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Tokens/month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10M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35M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75M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200M – 750M+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Storage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10 GB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50 GB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150 GB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500 GB – 2 TB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Custom Assistants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5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25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Unlimited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Unlimited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Workflows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10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50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Unlimited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Unlimited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AI Council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✓ Included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✓ Included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Model Tier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Standard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Pro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Pro + Premium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All Premium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Uptime SLA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99.0%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99.5%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99.5%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99.9 – 99.95%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Support Response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72 hours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48 hours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24 hours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4 – 1 hour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7"/>
              </w:rPr>
              <w:t>Token Overage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$16/1M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$15/1M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7"/>
              </w:rPr>
              <w:t>$14.75/1M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70" w:type="dxa"/>
              <w:end w:w="70" w:type="dxa"/>
            </w:tcMar>
          </w:tcPr>
          <w:p>
            <w:r/>
            <w:r>
              <w:rPr>
                <w:rFonts w:ascii="Open Sans" w:hAnsi="Open Sans"/>
                <w:color w:val="59595B"/>
                <w:sz w:val="17"/>
              </w:rPr>
              <w:t>$14.50/1M</w:t>
            </w:r>
          </w:p>
        </w:tc>
      </w:tr>
    </w:tbl>
    <w:p/>
    <w:p>
      <w:r>
        <w:rPr>
          <w:rFonts w:ascii="Open Sans" w:hAnsi="Open Sans"/>
          <w:b/>
          <w:color w:val="1A1A2E"/>
          <w:sz w:val="28"/>
        </w:rPr>
        <w:t>Deployment Options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100"/>
        <w:gridCol w:w="5100"/>
      </w:tblGrid>
      <w:tr>
        <w:tc>
          <w:tcPr>
            <w:tcW w:type="dxa" w:w="5100"/>
            <w:shd w:fill="EBF5FB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/>
            <w:r>
              <w:rPr>
                <w:rFonts w:ascii="Open Sans" w:hAnsi="Open Sans"/>
                <w:b/>
                <w:color w:val="1A1A2E"/>
                <w:sz w:val="24"/>
              </w:rPr>
              <w:t>☁ Cloud (SaaS)</w:t>
            </w:r>
          </w:p>
          <w:p>
            <w:r>
              <w:rPr>
                <w:rFonts w:ascii="Open Sans" w:hAnsi="Open Sans"/>
                <w:color w:val="59595B"/>
                <w:sz w:val="19"/>
              </w:rPr>
              <w:t>Fully managed on Azure with automatic updates, monitoring, and 24/7 global support.</w:t>
            </w:r>
          </w:p>
          <w:p>
            <w:r>
              <w:rPr>
                <w:rFonts w:ascii="Open Sans" w:hAnsi="Open Sans"/>
                <w:b/>
                <w:color w:val="006DB6"/>
                <w:sz w:val="20"/>
              </w:rPr>
              <w:t>Starting at $299/mo</w:t>
            </w:r>
          </w:p>
        </w:tc>
        <w:tc>
          <w:tcPr>
            <w:tcW w:type="dxa" w:w="5100"/>
            <w:shd w:fill="F8F9FA" w:val="clea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/>
            <w:r>
              <w:rPr>
                <w:rFonts w:ascii="Open Sans" w:hAnsi="Open Sans"/>
                <w:b/>
                <w:color w:val="1A1A2E"/>
                <w:sz w:val="24"/>
              </w:rPr>
              <w:t>🏠 On-Premise</w:t>
            </w:r>
          </w:p>
          <w:p>
            <w:r>
              <w:rPr>
                <w:rFonts w:ascii="Open Sans" w:hAnsi="Open Sans"/>
                <w:color w:val="59595B"/>
                <w:sz w:val="19"/>
              </w:rPr>
              <w:t>Deploy inside your own infrastructure for maximum data sovereignty.</w:t>
            </w:r>
          </w:p>
          <w:p>
            <w:r>
              <w:rPr>
                <w:rFonts w:ascii="Open Sans" w:hAnsi="Open Sans"/>
                <w:b/>
                <w:color w:val="006DB6"/>
                <w:sz w:val="20"/>
              </w:rPr>
              <w:t>Starting at $45,000/yr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8" w:hRule="exact"/>
        </w:trPr>
        <w:tc>
          <w:tcPr>
            <w:tcW w:type="dxa" w:w="10200"/>
            <w:shd w:fill="006DB6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40"/>
        </w:rPr>
        <w:t xml:space="preserve">How Chat.AI </w:t>
      </w:r>
      <w:r>
        <w:rPr>
          <w:rFonts w:ascii="Open Sans" w:hAnsi="Open Sans"/>
          <w:b/>
          <w:color w:val="F67D4B"/>
          <w:sz w:val="40"/>
        </w:rPr>
        <w:t>Compares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A1A2E" w:val="clear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040"/>
            <w:shd w:fill="1A1A2E" w:val="clear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6"/>
              </w:rPr>
              <w:t>ChatGPT Team</w:t>
            </w:r>
          </w:p>
        </w:tc>
        <w:tc>
          <w:tcPr>
            <w:tcW w:type="dxa" w:w="2040"/>
            <w:shd w:fill="1A1A2E" w:val="clear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6"/>
              </w:rPr>
              <w:t>MS Copilot</w:t>
            </w:r>
          </w:p>
        </w:tc>
        <w:tc>
          <w:tcPr>
            <w:tcW w:type="dxa" w:w="2040"/>
            <w:shd w:fill="1A1A2E" w:val="clear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6"/>
              </w:rPr>
              <w:t>Gemini Business</w:t>
            </w:r>
          </w:p>
        </w:tc>
        <w:tc>
          <w:tcPr>
            <w:tcW w:type="dxa" w:w="2040"/>
            <w:shd w:fill="006DB6" w:val="clear"/>
            <w:tcMar>
              <w:top w:w="50" w:type="dxa"/>
              <w:bottom w:w="50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16"/>
              </w:rPr>
              <w:t>Chat.AI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Multi-model access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OpenAI only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OpenAI only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Google only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4+ providers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AI Council (consensus)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Patent pending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Per-call cost attribution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Token-level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Workflow automation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GPTs only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Power Automate ($)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N8N built-in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Multi-tenant isolation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Basic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Basic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Row-level security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Full audit logging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Limited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Limited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SP-enforced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Custom vector stores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OpenAI only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Weaviate/Pinecone/Chroma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On-premise deployment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Term license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Budget controls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—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✓ 75%/100% alerts</w:t>
            </w:r>
          </w:p>
        </w:tc>
      </w:tr>
      <w:tr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b/>
                <w:color w:val="59595B"/>
                <w:sz w:val="16"/>
              </w:rPr>
              <w:t>Price (25 users)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$625/mo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$750/mo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</w:tcPr>
          <w:p>
            <w:r/>
            <w:r>
              <w:rPr>
                <w:rFonts w:ascii="Open Sans" w:hAnsi="Open Sans"/>
                <w:color w:val="59595B"/>
                <w:sz w:val="16"/>
              </w:rPr>
              <w:t>$500/mo</w:t>
            </w:r>
          </w:p>
        </w:tc>
        <w:tc>
          <w:tcPr>
            <w:tcW w:type="dxa" w:w="2040"/>
            <w:tcMar>
              <w:top w:w="35" w:type="dxa"/>
              <w:bottom w:w="35" w:type="dxa"/>
              <w:start w:w="60" w:type="dxa"/>
              <w:end w:w="60" w:type="dxa"/>
            </w:tcMar>
            <w:shd w:fill="EBF5FB" w:val="clear"/>
          </w:tcPr>
          <w:p>
            <w:r/>
            <w:r>
              <w:rPr>
                <w:rFonts w:ascii="Open Sans" w:hAnsi="Open Sans"/>
                <w:b/>
                <w:color w:val="1A1A2E"/>
                <w:sz w:val="16"/>
              </w:rPr>
              <w:t>$899/mo (50 seats)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c>
          <w:tcPr>
            <w:tcW w:type="dxa" w:w="10200"/>
            <w:shd w:fill="1A1A2E" w:val="clear"/>
            <w:tcMar>
              <w:top w:w="200" w:type="dxa"/>
              <w:bottom w:w="200" w:type="dxa"/>
              <w:start w:w="300" w:type="dxa"/>
              <w:end w:w="300" w:type="dxa"/>
            </w:tcMar>
          </w:tcPr>
          <w:p>
            <w:r/>
            <w:r>
              <w:rPr>
                <w:rFonts w:ascii="Open Sans" w:hAnsi="Open Sans"/>
                <w:b/>
                <w:color w:val="FFFFFF"/>
                <w:sz w:val="40"/>
              </w:rPr>
              <w:t xml:space="preserve">What You </w:t>
            </w:r>
            <w:r>
              <w:rPr>
                <w:rFonts w:ascii="Open Sans" w:hAnsi="Open Sans"/>
                <w:b/>
                <w:color w:val="F67D4B"/>
                <w:sz w:val="40"/>
              </w:rPr>
              <w:t>Save</w:t>
            </w:r>
          </w:p>
          <w:p>
            <w:r>
              <w:rPr>
                <w:rFonts w:ascii="Open Sans" w:hAnsi="Open Sans"/>
                <w:color w:val="888890"/>
                <w:sz w:val="20"/>
              </w:rPr>
              <w:t>Real cost comparisons for typical organizations switching to Chat.AI.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040"/>
              <w:gridCol w:w="2040"/>
              <w:gridCol w:w="2040"/>
              <w:gridCol w:w="2040"/>
              <w:gridCol w:w="2040"/>
            </w:tblGrid>
            <w:tr>
              <w:tc>
                <w:tcPr>
                  <w:tcW w:type="dxa" w:w="2040"/>
                  <w:shd w:fill="2A2A4E" w:val="clear"/>
                  <w:tcMar>
                    <w:top w:w="45" w:type="dxa"/>
                    <w:bottom w:w="4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EAAC8"/>
                      <w:sz w:val="16"/>
                    </w:rPr>
                    <w:t>Scenario</w:t>
                  </w:r>
                </w:p>
              </w:tc>
              <w:tc>
                <w:tcPr>
                  <w:tcW w:type="dxa" w:w="2040"/>
                  <w:shd w:fill="2A2A4E" w:val="clear"/>
                  <w:tcMar>
                    <w:top w:w="45" w:type="dxa"/>
                    <w:bottom w:w="4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EAAC8"/>
                      <w:sz w:val="16"/>
                    </w:rPr>
                    <w:t>Current Cost</w:t>
                  </w:r>
                </w:p>
              </w:tc>
              <w:tc>
                <w:tcPr>
                  <w:tcW w:type="dxa" w:w="2040"/>
                  <w:shd w:fill="2A2A4E" w:val="clear"/>
                  <w:tcMar>
                    <w:top w:w="45" w:type="dxa"/>
                    <w:bottom w:w="4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EAAC8"/>
                      <w:sz w:val="16"/>
                    </w:rPr>
                    <w:t>Chat.AI</w:t>
                  </w:r>
                </w:p>
              </w:tc>
              <w:tc>
                <w:tcPr>
                  <w:tcW w:type="dxa" w:w="2040"/>
                  <w:shd w:fill="2A2A4E" w:val="clear"/>
                  <w:tcMar>
                    <w:top w:w="45" w:type="dxa"/>
                    <w:bottom w:w="4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EAAC8"/>
                      <w:sz w:val="16"/>
                    </w:rPr>
                    <w:t>Monthly Savings</w:t>
                  </w:r>
                </w:p>
              </w:tc>
              <w:tc>
                <w:tcPr>
                  <w:tcW w:type="dxa" w:w="2040"/>
                  <w:shd w:fill="2A2A4E" w:val="clear"/>
                  <w:tcMar>
                    <w:top w:w="45" w:type="dxa"/>
                    <w:bottom w:w="4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1EAAC8"/>
                      <w:sz w:val="16"/>
                    </w:rPr>
                    <w:t>Annual Savings</w:t>
                  </w:r>
                </w:p>
              </w:tc>
            </w:tr>
            <w:tr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FFFFF"/>
                      <w:sz w:val="18"/>
                    </w:rPr>
                    <w:t>Small Team (10)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$389/mo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$299/mo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$90/mo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CBDB2D"/>
                      <w:sz w:val="18"/>
                    </w:rPr>
                    <w:t>$1,080</w:t>
                  </w:r>
                </w:p>
              </w:tc>
            </w:tr>
            <w:tr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FFFFF"/>
                      <w:sz w:val="18"/>
                    </w:rPr>
                    <w:t>Mid-Market (50)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$2,500/mo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$899/mo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$1,601/mo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CBDB2D"/>
                      <w:sz w:val="18"/>
                    </w:rPr>
                    <w:t>$19,212</w:t>
                  </w:r>
                </w:p>
              </w:tc>
            </w:tr>
            <w:tr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FFFFFF"/>
                      <w:sz w:val="18"/>
                    </w:rPr>
                    <w:t>Enterprise (250)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$18,500/mo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$3,999/mo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color w:val="B0B0B8"/>
                      <w:sz w:val="18"/>
                    </w:rPr>
                    <w:t>$14,501/mo</w:t>
                  </w:r>
                </w:p>
              </w:tc>
              <w:tc>
                <w:tcPr>
                  <w:tcW w:type="dxa" w:w="2040"/>
                  <w:tcMar>
                    <w:top w:w="35" w:type="dxa"/>
                    <w:bottom w:w="35" w:type="dxa"/>
                    <w:start w:w="60" w:type="dxa"/>
                    <w:end w:w="60" w:type="dxa"/>
                  </w:tcMar>
                </w:tcPr>
                <w:p>
                  <w:r/>
                  <w:r>
                    <w:rPr>
                      <w:rFonts w:ascii="Open Sans" w:hAnsi="Open Sans"/>
                      <w:b/>
                      <w:color w:val="CBDB2D"/>
                      <w:sz w:val="18"/>
                    </w:rPr>
                    <w:t>$174,012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8" w:hRule="exact"/>
        </w:trPr>
        <w:tc>
          <w:tcPr>
            <w:tcW w:type="dxa" w:w="10200"/>
            <w:shd w:fill="1EAAC8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40"/>
        </w:rPr>
        <w:t xml:space="preserve">Enterprise-Grade </w:t>
      </w:r>
      <w:r>
        <w:rPr>
          <w:rFonts w:ascii="Open Sans" w:hAnsi="Open Sans"/>
          <w:b/>
          <w:color w:val="F67D4B"/>
          <w:sz w:val="40"/>
        </w:rPr>
        <w:t>Security &amp; Compliance</w:t>
      </w:r>
    </w:p>
    <w:p>
      <w:r>
        <w:rPr>
          <w:rFonts w:ascii="Open Sans" w:hAnsi="Open Sans"/>
          <w:b/>
          <w:color w:val="006DB6"/>
          <w:sz w:val="20"/>
        </w:rPr>
        <w:t>🔒 Azure AD SSO</w:t>
      </w:r>
      <w:r>
        <w:rPr>
          <w:rFonts w:ascii="Open Sans" w:hAnsi="Open Sans"/>
          <w:color w:val="59595B"/>
          <w:sz w:val="18"/>
        </w:rPr>
        <w:t xml:space="preserve">  —  OAuth 2.0/OIDC with JWT bearer tokens</w:t>
      </w:r>
    </w:p>
    <w:p>
      <w:r>
        <w:rPr>
          <w:rFonts w:ascii="Open Sans" w:hAnsi="Open Sans"/>
          <w:b/>
          <w:color w:val="F67D4B"/>
          <w:sz w:val="20"/>
        </w:rPr>
        <w:t>🛡 Row-Level Security</w:t>
      </w:r>
      <w:r>
        <w:rPr>
          <w:rFonts w:ascii="Open Sans" w:hAnsi="Open Sans"/>
          <w:color w:val="59595B"/>
          <w:sz w:val="18"/>
        </w:rPr>
        <w:t xml:space="preserve">  —  Database-enforced tenant isolation</w:t>
      </w:r>
    </w:p>
    <w:p>
      <w:r>
        <w:rPr>
          <w:rFonts w:ascii="Open Sans" w:hAnsi="Open Sans"/>
          <w:b/>
          <w:color w:val="1EAAC8"/>
          <w:sz w:val="20"/>
        </w:rPr>
        <w:t>📄 Full Audit Trail</w:t>
      </w:r>
      <w:r>
        <w:rPr>
          <w:rFonts w:ascii="Open Sans" w:hAnsi="Open Sans"/>
          <w:color w:val="59595B"/>
          <w:sz w:val="18"/>
        </w:rPr>
        <w:t xml:space="preserve">  —  Every mutation logged with user &amp; timestamp</w:t>
      </w:r>
    </w:p>
    <w:p>
      <w:r>
        <w:rPr>
          <w:rFonts w:ascii="Open Sans" w:hAnsi="Open Sans"/>
          <w:b/>
          <w:color w:val="1A1A2E"/>
          <w:sz w:val="20"/>
        </w:rPr>
        <w:t>🔐 Azure Key Vault</w:t>
      </w:r>
      <w:r>
        <w:rPr>
          <w:rFonts w:ascii="Open Sans" w:hAnsi="Open Sans"/>
          <w:color w:val="59595B"/>
          <w:sz w:val="18"/>
        </w:rPr>
        <w:t xml:space="preserve">  —  All secrets encrypted at rest</w:t>
      </w:r>
    </w:p>
    <w:p>
      <w:r>
        <w:rPr>
          <w:rFonts w:ascii="Open Sans" w:hAnsi="Open Sans"/>
          <w:b/>
          <w:color w:val="F67D4B"/>
          <w:sz w:val="20"/>
        </w:rPr>
        <w:t>⚠ Prompt Injection Defense</w:t>
      </w:r>
      <w:r>
        <w:rPr>
          <w:rFonts w:ascii="Open Sans" w:hAnsi="Open Sans"/>
          <w:color w:val="59595B"/>
          <w:sz w:val="18"/>
        </w:rPr>
        <w:t xml:space="preserve">  —  Salted sequence tags &amp; delimiter separation</w:t>
      </w:r>
    </w:p>
    <w:p>
      <w:r>
        <w:rPr>
          <w:rFonts w:ascii="Open Sans" w:hAnsi="Open Sans"/>
          <w:b/>
          <w:color w:val="006DB6"/>
          <w:sz w:val="20"/>
        </w:rPr>
        <w:t>🏣 HIPAA / SOC 2 Ready</w:t>
      </w:r>
      <w:r>
        <w:rPr>
          <w:rFonts w:ascii="Open Sans" w:hAnsi="Open Sans"/>
          <w:color w:val="59595B"/>
          <w:sz w:val="18"/>
        </w:rPr>
        <w:t xml:space="preserve">  —  Compliance-ready architecture</w:t>
      </w:r>
    </w:p>
    <w:p>
      <w:r>
        <w:rPr>
          <w:rFonts w:ascii="Open Sans" w:hAnsi="Open Sans"/>
          <w:b/>
          <w:color w:val="1EAAC8"/>
          <w:sz w:val="20"/>
        </w:rPr>
        <w:t>🛠 RBAC Roles</w:t>
      </w:r>
      <w:r>
        <w:rPr>
          <w:rFonts w:ascii="Open Sans" w:hAnsi="Open Sans"/>
          <w:color w:val="59595B"/>
          <w:sz w:val="18"/>
        </w:rPr>
        <w:t xml:space="preserve">  —  Multi-level role hierarchies</w:t>
      </w:r>
    </w:p>
    <w:p>
      <w:r>
        <w:rPr>
          <w:rFonts w:ascii="Open Sans" w:hAnsi="Open Sans"/>
          <w:b/>
          <w:color w:val="1A1A2E"/>
          <w:sz w:val="20"/>
        </w:rPr>
        <w:t>🚀 Rate Limiting</w:t>
      </w:r>
      <w:r>
        <w:rPr>
          <w:rFonts w:ascii="Open Sans" w:hAnsi="Open Sans"/>
          <w:color w:val="59595B"/>
          <w:sz w:val="18"/>
        </w:rPr>
        <w:t xml:space="preserve">  —  Per-user, per-tenant throttling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rPr>
          <w:trHeight w:val="6" w:hRule="exact"/>
        </w:trPr>
        <w:tc>
          <w:tcPr>
            <w:tcW w:type="dxa" w:w="10200"/>
            <w:shd w:fill="F67D4B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</w:p>
        </w:tc>
      </w:tr>
    </w:tbl>
    <w:p>
      <w:r>
        <w:rPr>
          <w:rFonts w:ascii="Open Sans" w:hAnsi="Open Sans"/>
          <w:b/>
          <w:color w:val="1A1A2E"/>
          <w:sz w:val="36"/>
        </w:rPr>
        <w:t xml:space="preserve">About </w:t>
      </w:r>
      <w:r>
        <w:rPr>
          <w:rFonts w:ascii="Open Sans" w:hAnsi="Open Sans"/>
          <w:b/>
          <w:color w:val="006DB6"/>
          <w:sz w:val="36"/>
        </w:rPr>
        <w:t>Technijian</w:t>
      </w:r>
    </w:p>
    <w:p>
      <w:r>
        <w:rPr>
          <w:rFonts w:ascii="Open Sans" w:hAnsi="Open Sans"/>
          <w:color w:val="59595B"/>
          <w:sz w:val="20"/>
        </w:rPr>
        <w:t>Founded in 2000 by Ravi Jain, Technijian has grown from a single-consultant operation into a full-spectrum IT services company with offices in Irvine, California and India. For over 25 years, we've served small and mid-sized businesses with managed IT, cybersecurity, cloud, compliance, and AI-driven solutions.</w:t>
      </w:r>
    </w:p>
    <w:p>
      <w:r>
        <w:rPr>
          <w:rFonts w:ascii="Open Sans" w:hAnsi="Open Sans"/>
          <w:color w:val="59595B"/>
          <w:sz w:val="20"/>
        </w:rPr>
        <w:t>Our Technijians Pod Model assigns a dedicated team to each client — so you get people who truly know your infrastructure, not a rotating cast of strangers. With 24/7 global support at no extra cost, we deliver enterprise-grade technology with the responsiveness of a dedicated partner.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shd w:fill="F8F9FA" w:val="clea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b/>
                <w:color w:val="F67D4B"/>
                <w:sz w:val="44"/>
              </w:rPr>
              <w:t>25+</w:t>
            </w:r>
            <w:r>
              <w:rPr>
                <w:rFonts w:ascii="Open Sans" w:hAnsi="Open Sans"/>
                <w:color w:val="59595B"/>
                <w:sz w:val="16"/>
              </w:rPr>
              <w:br/>
              <w:t>Years in Business</w:t>
            </w:r>
          </w:p>
        </w:tc>
        <w:tc>
          <w:tcPr>
            <w:tcW w:type="dxa" w:w="3400"/>
            <w:shd w:fill="F8F9FA" w:val="clea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b/>
                <w:color w:val="F67D4B"/>
                <w:sz w:val="44"/>
              </w:rPr>
              <w:t>24/7</w:t>
            </w:r>
            <w:r>
              <w:rPr>
                <w:rFonts w:ascii="Open Sans" w:hAnsi="Open Sans"/>
                <w:color w:val="59595B"/>
                <w:sz w:val="16"/>
              </w:rPr>
              <w:br/>
              <w:t>Global Support</w:t>
            </w:r>
          </w:p>
        </w:tc>
        <w:tc>
          <w:tcPr>
            <w:tcW w:type="dxa" w:w="3400"/>
            <w:shd w:fill="F8F9FA" w:val="clea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b/>
                <w:color w:val="F67D4B"/>
                <w:sz w:val="44"/>
              </w:rPr>
              <w:t>6</w:t>
            </w:r>
            <w:r>
              <w:rPr>
                <w:rFonts w:ascii="Open Sans" w:hAnsi="Open Sans"/>
                <w:color w:val="59595B"/>
                <w:sz w:val="16"/>
              </w:rPr>
              <w:br/>
              <w:t>Service Pillars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c>
          <w:tcPr>
            <w:tcW w:type="dxa" w:w="10200"/>
            <w:shd w:fill="006DB6" w:val="clear"/>
            <w:tcMar>
              <w:top w:w="200" w:type="dxa"/>
              <w:bottom w:w="200" w:type="dxa"/>
              <w:start w:w="300" w:type="dxa"/>
              <w:end w:w="30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b/>
                <w:color w:val="FFFFFF"/>
                <w:sz w:val="44"/>
              </w:rPr>
              <w:t>Ready to Transform How Your Team Uses AI?</w:t>
            </w:r>
          </w:p>
          <w:p>
            <w:pPr>
              <w:jc w:val="center"/>
            </w:pPr>
            <w:r>
              <w:rPr>
                <w:rFonts w:ascii="Open Sans" w:hAnsi="Open Sans"/>
                <w:color w:val="CCDDEE"/>
                <w:sz w:val="21"/>
              </w:rPr>
              <w:t>Schedule a personalized demo and see how Chat.AI delivers better answers</w:t>
              <w:br/>
              <w:t>at a lower cost than any single-model solution.</w:t>
            </w:r>
          </w:p>
          <w:p>
            <w:pPr>
              <w:jc w:val="center"/>
            </w:pPr>
            <w:r>
              <w:rPr>
                <w:rFonts w:ascii="Open Sans" w:hAnsi="Open Sans"/>
                <w:b/>
                <w:color w:val="FFFFFF"/>
                <w:sz w:val="28"/>
              </w:rPr>
              <w:t>RJain@technijian.com</w:t>
            </w:r>
            <w:r>
              <w:rPr>
                <w:rFonts w:ascii="Open Sans" w:hAnsi="Open Sans"/>
                <w:color w:val="CCDDEE"/>
                <w:sz w:val="28"/>
              </w:rPr>
              <w:t xml:space="preserve">  •  </w:t>
            </w:r>
            <w:r>
              <w:rPr>
                <w:rFonts w:ascii="Open Sans" w:hAnsi="Open Sans"/>
                <w:b/>
                <w:color w:val="FFFFFF"/>
                <w:sz w:val="28"/>
              </w:rPr>
              <w:t>949.379.8500</w:t>
            </w:r>
          </w:p>
        </w:tc>
      </w:tr>
    </w:tbl>
    <w:p/>
    <w:p>
      <w:pPr>
        <w:jc w:val="center"/>
      </w:pPr>
      <w:r>
        <w:rPr>
          <w:rFonts w:ascii="Open Sans" w:hAnsi="Open Sans"/>
          <w:color w:val="59595B"/>
          <w:sz w:val="16"/>
        </w:rPr>
        <w:t>© 2026 Technijian  •  18 Technology Dr. Ste 141, Irvine CA 92618  •  technijian.com</w:t>
      </w:r>
    </w:p>
    <w:sectPr w:rsidR="00FC693F" w:rsidRPr="0006063C" w:rsidSect="00034616">
      <w:pgSz w:w="12240" w:h="15840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