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652"/>
      </w:tblGrid>
      <w:tr>
        <w:tc>
          <w:tcPr>
            <w:tcW w:type="dxa" w:w="10652"/>
            <w:shd w:fill="1A1A2E" w:val="clear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rFonts w:ascii="Open Sans" w:hAnsi="Open Sans"/>
                <w:b/>
                <w:color w:val="FFFFFF"/>
                <w:sz w:val="40"/>
              </w:rPr>
              <w:t xml:space="preserve">Technijian </w:t>
            </w:r>
            <w:r>
              <w:rPr>
                <w:rFonts w:ascii="Open Sans" w:hAnsi="Open Sans"/>
                <w:b/>
                <w:color w:val="F67D4B"/>
                <w:sz w:val="40"/>
              </w:rPr>
              <w:t>Chat.AI</w:t>
            </w:r>
            <w:r>
              <w:rPr>
                <w:rFonts w:ascii="Open Sans" w:hAnsi="Open Sans"/>
                <w:sz w:val="16"/>
              </w:rPr>
              <w:t xml:space="preserve">   </w:t>
            </w:r>
            <w:r>
              <w:rPr>
                <w:rFonts w:ascii="Open Sans" w:hAnsi="Open Sans"/>
                <w:b/>
                <w:color w:val="1EAAC8"/>
                <w:sz w:val="14"/>
              </w:rPr>
              <w:t>ENTERPRISE AI PLATFORM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663"/>
              <w:gridCol w:w="2663"/>
              <w:gridCol w:w="2663"/>
              <w:gridCol w:w="2663"/>
            </w:tblGrid>
            <w:tr>
              <w:tc>
                <w:tcPr>
                  <w:tcW w:type="dxa" w:w="2663"/>
                  <w:tcMar>
                    <w:top w:w="20" w:type="dxa"/>
                    <w:bottom w:w="20" w:type="dxa"/>
                    <w:start w:w="10" w:type="dxa"/>
                    <w:end w:w="1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67D4B"/>
                      <w:sz w:val="28"/>
                    </w:rPr>
                    <w:t>4+</w:t>
                  </w:r>
                  <w:r>
                    <w:rPr>
                      <w:rFonts w:ascii="Open Sans" w:hAnsi="Open Sans"/>
                      <w:color w:val="888890"/>
                      <w:sz w:val="14"/>
                    </w:rPr>
                    <w:t xml:space="preserve"> AI Providers</w:t>
                  </w:r>
                </w:p>
              </w:tc>
              <w:tc>
                <w:tcPr>
                  <w:tcW w:type="dxa" w:w="2663"/>
                  <w:tcMar>
                    <w:top w:w="20" w:type="dxa"/>
                    <w:bottom w:w="20" w:type="dxa"/>
                    <w:start w:w="10" w:type="dxa"/>
                    <w:end w:w="1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67D4B"/>
                      <w:sz w:val="28"/>
                    </w:rPr>
                    <w:t>32+</w:t>
                  </w:r>
                  <w:r>
                    <w:rPr>
                      <w:rFonts w:ascii="Open Sans" w:hAnsi="Open Sans"/>
                      <w:color w:val="888890"/>
                      <w:sz w:val="14"/>
                    </w:rPr>
                    <w:t xml:space="preserve"> Endpoints</w:t>
                  </w:r>
                </w:p>
              </w:tc>
              <w:tc>
                <w:tcPr>
                  <w:tcW w:type="dxa" w:w="2663"/>
                  <w:tcMar>
                    <w:top w:w="20" w:type="dxa"/>
                    <w:bottom w:w="20" w:type="dxa"/>
                    <w:start w:w="10" w:type="dxa"/>
                    <w:end w:w="1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67D4B"/>
                      <w:sz w:val="28"/>
                    </w:rPr>
                    <w:t>&gt;60%</w:t>
                  </w:r>
                  <w:r>
                    <w:rPr>
                      <w:rFonts w:ascii="Open Sans" w:hAnsi="Open Sans"/>
                      <w:color w:val="888890"/>
                      <w:sz w:val="14"/>
                    </w:rPr>
                    <w:t xml:space="preserve"> Council Win Rate</w:t>
                  </w:r>
                </w:p>
              </w:tc>
              <w:tc>
                <w:tcPr>
                  <w:tcW w:type="dxa" w:w="2663"/>
                  <w:tcMar>
                    <w:top w:w="20" w:type="dxa"/>
                    <w:bottom w:w="20" w:type="dxa"/>
                    <w:start w:w="10" w:type="dxa"/>
                    <w:end w:w="1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67D4B"/>
                      <w:sz w:val="28"/>
                    </w:rPr>
                    <w:t>99.9%</w:t>
                  </w:r>
                  <w:r>
                    <w:rPr>
                      <w:rFonts w:ascii="Open Sans" w:hAnsi="Open Sans"/>
                      <w:color w:val="888890"/>
                      <w:sz w:val="14"/>
                    </w:rPr>
                    <w:t xml:space="preserve"> Uptime SLA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652"/>
      </w:tblGrid>
      <w:tr>
        <w:tc>
          <w:tcPr>
            <w:tcW w:type="dxa" w:w="10652"/>
            <w:shd w:fill="006DB6" w:val="clear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Secure, multi-model AI with collective intelligence, workflow automation, and enterprise governance.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326"/>
        <w:gridCol w:w="5326"/>
      </w:tblGrid>
      <w:tr>
        <w:tc>
          <w:tcPr>
            <w:tcW w:type="dxa" w:w="5326"/>
            <w:tcMar>
              <w:top w:w="0" w:type="dxa"/>
              <w:bottom w:w="0" w:type="dxa"/>
              <w:start w:w="4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006DB6"/>
                <w:sz w:val="18"/>
              </w:rPr>
              <w:t>KEY CAPABILITIES</w:t>
            </w:r>
          </w:p>
          <w:p>
            <w:r>
              <w:rPr>
                <w:rFonts w:ascii="Open Sans" w:hAnsi="Open Sans"/>
                <w:b/>
                <w:color w:val="1A1A2E"/>
                <w:sz w:val="17"/>
              </w:rPr>
              <w:t>Multi-Model AI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GPT-4o, Claude, Gemini + more — switch models mid-chat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Streaming responses with file attachments &amp; analysis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Thread sharing with permissions, export &amp; history</w:t>
            </w:r>
          </w:p>
          <w:p>
            <w:r>
              <w:rPr>
                <w:rFonts w:ascii="Open Sans" w:hAnsi="Open Sans"/>
                <w:b/>
                <w:color w:val="1A1A2E"/>
                <w:sz w:val="17"/>
              </w:rPr>
              <w:t>AI Council (Patent Pending)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3-stage deliberation: Diverge → Converge → Synthesize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3+ models per query, anonymized peer review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&gt;30% hallucination reduction vs single models</w:t>
            </w:r>
          </w:p>
          <w:p>
            <w:r>
              <w:rPr>
                <w:rFonts w:ascii="Open Sans" w:hAnsi="Open Sans"/>
                <w:b/>
                <w:color w:val="1A1A2E"/>
                <w:sz w:val="17"/>
              </w:rPr>
              <w:t>Workflow &amp; Knowledge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N8N workflow automation triggered from chat context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RAG with Weaviate, Pinecone, or Chroma vector stores</w:t>
            </w:r>
          </w:p>
          <w:p>
            <w:r>
              <w:rPr>
                <w:rFonts w:ascii="Open Sans" w:hAnsi="Open Sans"/>
                <w:b/>
                <w:color w:val="1EAAC8"/>
                <w:sz w:val="16"/>
              </w:rPr>
              <w:t xml:space="preserve">✓ </w:t>
            </w:r>
            <w:r>
              <w:rPr>
                <w:rFonts w:ascii="Open Sans" w:hAnsi="Open Sans"/>
                <w:color w:val="59595B"/>
                <w:sz w:val="15"/>
              </w:rPr>
              <w:t>Custom assistants with REST/GraphQL/DB connectors</w:t>
            </w:r>
          </w:p>
          <w:p>
            <w:r>
              <w:rPr>
                <w:rFonts w:ascii="Open Sans" w:hAnsi="Open Sans"/>
                <w:b/>
                <w:color w:val="006DB6"/>
                <w:sz w:val="18"/>
              </w:rPr>
              <w:t>HOW IT WORKS</w:t>
            </w:r>
          </w:p>
          <w:p>
            <w:r>
              <w:rPr>
                <w:rFonts w:ascii="Open Sans" w:hAnsi="Open Sans"/>
                <w:b/>
                <w:color w:val="F67D4B"/>
                <w:sz w:val="18"/>
              </w:rPr>
              <w:t xml:space="preserve">1. </w:t>
            </w:r>
            <w:r>
              <w:rPr>
                <w:rFonts w:ascii="Open Sans" w:hAnsi="Open Sans"/>
                <w:b/>
                <w:color w:val="1A1A2E"/>
                <w:sz w:val="17"/>
              </w:rPr>
              <w:t>Deploy</w:t>
            </w:r>
            <w:r>
              <w:rPr>
                <w:rFonts w:ascii="Open Sans" w:hAnsi="Open Sans"/>
                <w:color w:val="59595B"/>
                <w:sz w:val="15"/>
              </w:rPr>
              <w:t xml:space="preserve"> — Set up your tenant with Azure AD SSO in minutes</w:t>
            </w:r>
          </w:p>
          <w:p>
            <w:r>
              <w:rPr>
                <w:rFonts w:ascii="Open Sans" w:hAnsi="Open Sans"/>
                <w:b/>
                <w:color w:val="F67D4B"/>
                <w:sz w:val="18"/>
              </w:rPr>
              <w:t xml:space="preserve">2. </w:t>
            </w:r>
            <w:r>
              <w:rPr>
                <w:rFonts w:ascii="Open Sans" w:hAnsi="Open Sans"/>
                <w:b/>
                <w:color w:val="1A1A2E"/>
                <w:sz w:val="17"/>
              </w:rPr>
              <w:t>Configure</w:t>
            </w:r>
            <w:r>
              <w:rPr>
                <w:rFonts w:ascii="Open Sans" w:hAnsi="Open Sans"/>
                <w:color w:val="59595B"/>
                <w:sz w:val="15"/>
              </w:rPr>
              <w:t xml:space="preserve"> — Choose AI models, set budgets, create assistants</w:t>
            </w:r>
          </w:p>
          <w:p>
            <w:r>
              <w:rPr>
                <w:rFonts w:ascii="Open Sans" w:hAnsi="Open Sans"/>
                <w:b/>
                <w:color w:val="F67D4B"/>
                <w:sz w:val="18"/>
              </w:rPr>
              <w:t xml:space="preserve">3. </w:t>
            </w:r>
            <w:r>
              <w:rPr>
                <w:rFonts w:ascii="Open Sans" w:hAnsi="Open Sans"/>
                <w:b/>
                <w:color w:val="1A1A2E"/>
                <w:sz w:val="17"/>
              </w:rPr>
              <w:t>Scale</w:t>
            </w:r>
            <w:r>
              <w:rPr>
                <w:rFonts w:ascii="Open Sans" w:hAnsi="Open Sans"/>
                <w:color w:val="59595B"/>
                <w:sz w:val="15"/>
              </w:rPr>
              <w:t xml:space="preserve"> — Add users, workflows, and integrations as you grow</w:t>
            </w:r>
          </w:p>
        </w:tc>
        <w:tc>
          <w:tcPr>
            <w:tcW w:type="dxa" w:w="5326"/>
            <w:tcMar>
              <w:top w:w="0" w:type="dxa"/>
              <w:bottom w:w="0" w:type="dxa"/>
              <w:start w:w="60" w:type="dxa"/>
              <w:end w:w="40" w:type="dxa"/>
            </w:tcMar>
          </w:tcPr>
          <w:p>
            <w:r/>
            <w:r>
              <w:rPr>
                <w:rFonts w:ascii="Open Sans" w:hAnsi="Open Sans"/>
                <w:b/>
                <w:color w:val="006DB6"/>
                <w:sz w:val="18"/>
              </w:rPr>
              <w:t>WHY CHAT.AI</w:t>
            </w:r>
          </w:p>
          <w:p>
            <w:r>
              <w:rPr>
                <w:rFonts w:ascii="Open Sans" w:hAnsi="Open Sans"/>
                <w:b/>
                <w:color w:val="006DB6"/>
                <w:sz w:val="14"/>
              </w:rPr>
              <w:t xml:space="preserve">● </w:t>
            </w:r>
            <w:r>
              <w:rPr>
                <w:rFonts w:ascii="Open Sans" w:hAnsi="Open Sans"/>
                <w:b/>
                <w:color w:val="1A1A2E"/>
                <w:sz w:val="16"/>
              </w:rPr>
              <w:t>Multi-provider</w:t>
            </w:r>
            <w:r>
              <w:rPr>
                <w:rFonts w:ascii="Open Sans" w:hAnsi="Open Sans"/>
                <w:color w:val="59595B"/>
                <w:sz w:val="15"/>
              </w:rPr>
              <w:t xml:space="preserve"> — No vendor lock-in — OpenAI, Anthropic, Google, Azure</w:t>
            </w:r>
          </w:p>
          <w:p>
            <w:r>
              <w:rPr>
                <w:rFonts w:ascii="Open Sans" w:hAnsi="Open Sans"/>
                <w:b/>
                <w:color w:val="F67D4B"/>
                <w:sz w:val="14"/>
              </w:rPr>
              <w:t xml:space="preserve">● </w:t>
            </w:r>
            <w:r>
              <w:rPr>
                <w:rFonts w:ascii="Open Sans" w:hAnsi="Open Sans"/>
                <w:b/>
                <w:color w:val="1A1A2E"/>
                <w:sz w:val="16"/>
              </w:rPr>
              <w:t>Cost control</w:t>
            </w:r>
            <w:r>
              <w:rPr>
                <w:rFonts w:ascii="Open Sans" w:hAnsi="Open Sans"/>
                <w:color w:val="59595B"/>
                <w:sz w:val="15"/>
              </w:rPr>
              <w:t xml:space="preserve"> — Token-level metering with prepaid budgets &amp; alerts</w:t>
            </w:r>
          </w:p>
          <w:p>
            <w:r>
              <w:rPr>
                <w:rFonts w:ascii="Open Sans" w:hAnsi="Open Sans"/>
                <w:b/>
                <w:color w:val="1EAAC8"/>
                <w:sz w:val="14"/>
              </w:rPr>
              <w:t xml:space="preserve">● </w:t>
            </w:r>
            <w:r>
              <w:rPr>
                <w:rFonts w:ascii="Open Sans" w:hAnsi="Open Sans"/>
                <w:b/>
                <w:color w:val="1A1A2E"/>
                <w:sz w:val="16"/>
              </w:rPr>
              <w:t>Enterprise security</w:t>
            </w:r>
            <w:r>
              <w:rPr>
                <w:rFonts w:ascii="Open Sans" w:hAnsi="Open Sans"/>
                <w:color w:val="59595B"/>
                <w:sz w:val="15"/>
              </w:rPr>
              <w:t xml:space="preserve"> — Row-level isolation, full audit trail, HIPAA/SOC 2 ready</w:t>
            </w:r>
          </w:p>
          <w:p>
            <w:r>
              <w:rPr>
                <w:rFonts w:ascii="Open Sans" w:hAnsi="Open Sans"/>
                <w:b/>
                <w:color w:val="1A1A2E"/>
                <w:sz w:val="14"/>
              </w:rPr>
              <w:t xml:space="preserve">● </w:t>
            </w:r>
            <w:r>
              <w:rPr>
                <w:rFonts w:ascii="Open Sans" w:hAnsi="Open Sans"/>
                <w:b/>
                <w:color w:val="1A1A2E"/>
                <w:sz w:val="16"/>
              </w:rPr>
              <w:t>On-premise option</w:t>
            </w:r>
            <w:r>
              <w:rPr>
                <w:rFonts w:ascii="Open Sans" w:hAnsi="Open Sans"/>
                <w:color w:val="59595B"/>
                <w:sz w:val="15"/>
              </w:rPr>
              <w:t xml:space="preserve"> — Deploy in your own infrastructure for data sovereignty</w:t>
            </w:r>
          </w:p>
          <w:p>
            <w:r>
              <w:rPr>
                <w:rFonts w:ascii="Open Sans" w:hAnsi="Open Sans"/>
                <w:b/>
                <w:color w:val="8BA82E"/>
                <w:sz w:val="14"/>
              </w:rPr>
              <w:t xml:space="preserve">● </w:t>
            </w:r>
            <w:r>
              <w:rPr>
                <w:rFonts w:ascii="Open Sans" w:hAnsi="Open Sans"/>
                <w:b/>
                <w:color w:val="1A1A2E"/>
                <w:sz w:val="16"/>
              </w:rPr>
              <w:t>Council consensus</w:t>
            </w:r>
            <w:r>
              <w:rPr>
                <w:rFonts w:ascii="Open Sans" w:hAnsi="Open Sans"/>
                <w:color w:val="59595B"/>
                <w:sz w:val="15"/>
              </w:rPr>
              <w:t xml:space="preserve"> — Patent-pending multi-agent deliberation</w:t>
            </w:r>
          </w:p>
          <w:p>
            <w:r>
              <w:rPr>
                <w:rFonts w:ascii="Open Sans" w:hAnsi="Open Sans"/>
                <w:b/>
                <w:color w:val="006DB6"/>
                <w:sz w:val="18"/>
              </w:rPr>
              <w:t>PRICING AT-A-GLANCE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775"/>
              <w:gridCol w:w="1775"/>
              <w:gridCol w:w="1775"/>
            </w:tblGrid>
            <w:tr>
              <w:tc>
                <w:tcPr>
                  <w:tcW w:type="dxa" w:w="1775"/>
                  <w:shd w:fill="1A1A2E" w:val="clear"/>
                  <w:tcMar>
                    <w:top w:w="25" w:type="dxa"/>
                    <w:bottom w:w="25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FFFFF"/>
                      <w:sz w:val="14"/>
                    </w:rPr>
                    <w:t>Plan</w:t>
                  </w:r>
                </w:p>
              </w:tc>
              <w:tc>
                <w:tcPr>
                  <w:tcW w:type="dxa" w:w="1775"/>
                  <w:shd w:fill="1A1A2E" w:val="clear"/>
                  <w:tcMar>
                    <w:top w:w="25" w:type="dxa"/>
                    <w:bottom w:w="25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FFFFF"/>
                      <w:sz w:val="14"/>
                    </w:rPr>
                    <w:t>Price</w:t>
                  </w:r>
                </w:p>
              </w:tc>
              <w:tc>
                <w:tcPr>
                  <w:tcW w:type="dxa" w:w="1775"/>
                  <w:shd w:fill="1A1A2E" w:val="clear"/>
                  <w:tcMar>
                    <w:top w:w="25" w:type="dxa"/>
                    <w:bottom w:w="25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FFFFF"/>
                      <w:sz w:val="14"/>
                    </w:rPr>
                    <w:t>Users</w:t>
                  </w:r>
                </w:p>
              </w:tc>
            </w:tr>
            <w:tr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Starter</w:t>
                  </w:r>
                </w:p>
              </w:tc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$299/mo</w:t>
                  </w:r>
                </w:p>
              </w:tc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10</w:t>
                  </w:r>
                </w:p>
              </w:tc>
            </w:tr>
            <w:tr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Growth</w:t>
                  </w:r>
                </w:p>
              </w:tc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$899/mo</w:t>
                  </w:r>
                </w:p>
              </w:tc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50</w:t>
                  </w:r>
                </w:p>
              </w:tc>
            </w:tr>
            <w:tr>
              <w:tc>
                <w:tcPr>
                  <w:tcW w:type="dxa" w:w="1775"/>
                  <w:shd w:fill="EBF5FB" w:val="clear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006DB6"/>
                      <w:sz w:val="15"/>
                    </w:rPr>
                    <w:t>Professional ★</w:t>
                  </w:r>
                </w:p>
              </w:tc>
              <w:tc>
                <w:tcPr>
                  <w:tcW w:type="dxa" w:w="1775"/>
                  <w:shd w:fill="EBF5FB" w:val="clear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A1A2E"/>
                      <w:sz w:val="15"/>
                    </w:rPr>
                    <w:t>$1,699/mo</w:t>
                  </w:r>
                </w:p>
              </w:tc>
              <w:tc>
                <w:tcPr>
                  <w:tcW w:type="dxa" w:w="1775"/>
                  <w:shd w:fill="EBF5FB" w:val="clear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A1A2E"/>
                      <w:sz w:val="15"/>
                    </w:rPr>
                    <w:t>100</w:t>
                  </w:r>
                </w:p>
              </w:tc>
            </w:tr>
            <w:tr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Enterprise</w:t>
                  </w:r>
                </w:p>
              </w:tc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Custom</w:t>
                  </w:r>
                </w:p>
              </w:tc>
              <w:tc>
                <w:tcPr>
                  <w:tcW w:type="dxa" w:w="1775"/>
                  <w:tcMar>
                    <w:top w:w="20" w:type="dxa"/>
                    <w:bottom w:w="20" w:type="dxa"/>
                    <w:start w:w="50" w:type="dxa"/>
                    <w:end w:w="5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1A1A2E"/>
                      <w:sz w:val="15"/>
                    </w:rPr>
                    <w:t>250+</w:t>
                  </w:r>
                </w:p>
              </w:tc>
            </w:tr>
          </w:tbl>
          <w:p/>
          <w:p>
            <w:r>
              <w:rPr>
                <w:rFonts w:ascii="Open Sans" w:hAnsi="Open Sans"/>
                <w:b/>
                <w:color w:val="006DB6"/>
                <w:sz w:val="18"/>
              </w:rPr>
              <w:t>SECURITY &amp; COMPLIANCE</w:t>
            </w:r>
          </w:p>
          <w:p>
            <w:r>
              <w:rPr>
                <w:rFonts w:ascii="Open Sans" w:hAnsi="Open Sans"/>
                <w:color w:val="59595B"/>
                <w:sz w:val="14"/>
              </w:rPr>
              <w:t>🔒 Azure AD SSO   🛡 Row-Level Security   📄 Audit Trail</w:t>
            </w:r>
          </w:p>
          <w:p>
            <w:r>
              <w:rPr>
                <w:rFonts w:ascii="Open Sans" w:hAnsi="Open Sans"/>
                <w:color w:val="59595B"/>
                <w:sz w:val="14"/>
              </w:rPr>
              <w:t>🔐 Key Vault   🏣 HIPAA/SOC 2 Ready   🛠 RBAC Roles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652"/>
      </w:tblGrid>
      <w:tr>
        <w:tc>
          <w:tcPr>
            <w:tcW w:type="dxa" w:w="10652"/>
            <w:shd w:fill="006DB6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color w:val="CCDDEE"/>
                <w:sz w:val="18"/>
              </w:rPr>
              <w:t xml:space="preserve">Ready to see Chat.AI in action?  </w:t>
            </w:r>
            <w:r>
              <w:rPr>
                <w:rFonts w:ascii="Open Sans" w:hAnsi="Open Sans"/>
                <w:color w:val="FFFFFF"/>
                <w:sz w:val="18"/>
              </w:rPr>
              <w:t xml:space="preserve">Schedule a demo: </w:t>
            </w:r>
            <w:r>
              <w:rPr>
                <w:rFonts w:ascii="Open Sans" w:hAnsi="Open Sans"/>
                <w:b/>
                <w:color w:val="FFFFFF"/>
                <w:sz w:val="18"/>
              </w:rPr>
              <w:t>RJain@technijian.com</w:t>
            </w:r>
            <w:r>
              <w:rPr>
                <w:rFonts w:ascii="Open Sans" w:hAnsi="Open Sans"/>
                <w:color w:val="CCDDEE"/>
                <w:sz w:val="18"/>
              </w:rPr>
              <w:t xml:space="preserve">  |  </w:t>
            </w:r>
            <w:r>
              <w:rPr>
                <w:rFonts w:ascii="Open Sans" w:hAnsi="Open Sans"/>
                <w:b/>
                <w:color w:val="FFFFFF"/>
                <w:sz w:val="18"/>
              </w:rPr>
              <w:t>949.379.8500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652"/>
      </w:tblGrid>
      <w:tr>
        <w:tc>
          <w:tcPr>
            <w:tcW w:type="dxa" w:w="10652"/>
            <w:shd w:fill="2D2D2D" w:val="clear"/>
            <w:tcMar>
              <w:top w:w="30" w:type="dxa"/>
              <w:bottom w:w="3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color w:val="888890"/>
                <w:sz w:val="14"/>
              </w:rPr>
              <w:t>© 2026 Technijian  •  18 Technology Dr. Ste 141, Irvine CA 92618  •  technijian.com</w:t>
            </w:r>
          </w:p>
        </w:tc>
      </w:tr>
    </w:tbl>
    <w:sectPr w:rsidR="00FC693F" w:rsidRPr="0006063C" w:rsidSect="00034616">
      <w:pgSz w:w="12240" w:h="15840"/>
      <w:pgMar w:top="454" w:right="794" w:bottom="3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Open Sans" w:hAnsi="Open Sans"/>
      <w:color w:val="59595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