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pPr>
              <w:spacing w:after="0" w:before="200"/>
            </w:pPr>
            <w:r>
              <w:t xml:space="preserve"/>
            </w:r>
          </w:p>
        </w:tc>
      </w:tr>
    </w:tbl>
    <w:p>
      <w:pPr>
        <w:spacing w:after="0" w:before="7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47650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bottom w:val="single" w:color="F67D4B" w:sz="12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80"/>
      </w:pPr>
      <w:r>
        <w:t xml:space="preserve"/>
      </w:r>
    </w:p>
    <w:p>
      <w:pPr>
        <w:spacing w:after="60"/>
        <w:jc w:val="center"/>
      </w:pPr>
      <w:r>
        <w:rPr>
          <w:rFonts w:ascii="Open Sans" w:cs="Open Sans" w:eastAsia="Open Sans" w:hAnsi="Open Sans"/>
          <w:b/>
          <w:bCs/>
          <w:color w:val="1A1A2E"/>
          <w:sz w:val="46"/>
          <w:szCs w:val="46"/>
        </w:rPr>
        <w:t xml:space="preserve">ANDERSON REAL ESTATE</w:t>
      </w:r>
    </w:p>
    <w:p>
      <w:pPr>
        <w:spacing w:after="80"/>
        <w:jc w:val="center"/>
      </w:pPr>
      <w:r>
        <w:rPr>
          <w:rFonts w:ascii="Open Sans" w:cs="Open Sans" w:eastAsia="Open Sans" w:hAnsi="Open Sans"/>
          <w:color w:val="59595B"/>
          <w:sz w:val="26"/>
          <w:szCs w:val="26"/>
        </w:rPr>
        <w:t xml:space="preserve">AI Growth &amp; Integration Blueprint</w:t>
      </w:r>
    </w:p>
    <w:p>
      <w:pPr>
        <w:spacing w:after="80"/>
        <w:jc w:val="center"/>
      </w:pPr>
      <w:r>
        <w:rPr>
          <w:rFonts w:ascii="Open Sans" w:cs="Open Sans" w:eastAsia="Open Sans" w:hAnsi="Open Sans"/>
          <w:b/>
          <w:bCs/>
          <w:color w:val="006DB6"/>
          <w:sz w:val="30"/>
          <w:szCs w:val="30"/>
        </w:rPr>
        <w:t xml:space="preserve">EXECUTIVE SUMMARY</w:t>
      </w:r>
    </w:p>
    <w:p>
      <w:pPr>
        <w:spacing w:after="0" w:before="2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6"/>
                <w:szCs w:val="46"/>
              </w:rPr>
              <w:t xml:space="preserve">53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Properties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46"/>
                <w:szCs w:val="46"/>
              </w:rPr>
              <w:t xml:space="preserve">3.1M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Sq ft · 9 markets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46"/>
                <w:szCs w:val="46"/>
              </w:rPr>
              <w:t xml:space="preserve">250+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Tenants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46"/>
                <w:szCs w:val="46"/>
              </w:rPr>
              <w:t xml:space="preserve">$100M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Century City reposition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jc w:val="center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Prepared by Technijian  ·  2026-06-08  ·  for Rebecca Reyna, Chief of Staff</w:t>
      </w:r>
    </w:p>
    <w:p>
      <w:pPr>
        <w:spacing w:after="0" w:before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pPr>
              <w:spacing w:after="0" w:before="150"/>
            </w:pPr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CONFIDENTIAL — Prepared exclusively for Anderson Real Estate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The Opportunity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The Opportunity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Anderson Real Estate is a family-owned commercial portfolio — 53 properties, 3.1 million square feet, 250+ tenants across nine markets — mid-way through a $100 million repositioning of its Anderson Towers campus in Century City, with Ares Management already signed as anchor. Century City is the top-performing office submarket on the West Coast, so the timing is excellent. The question is how AI helps the team capture that moment without losing the personal, relationship-driven service that is the family’s edge.</w:t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AI helps on two fronts, and they are different in kind. The first is leasing and tenant growth — winning the right tenants and holding the 250+ base — which is account-based and broker-driven, not a marketing funnel. The second, and the larger near-term return, is portfolio operations and efficiency — abstracting 250+ leases, automating CAM, and putting occupancy and rollover in one view — so a lean family-office team operates at an institutional standard.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Why Now</w:t>
            </w:r>
          </w:p>
          <w:p>
            <w:pPr>
              <w:keepNext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 single month of avoided vacancy on Century City office runs to six figures — faster, better-targeted leasing is the single largest number in the model.</w:t>
            </w:r>
          </w:p>
          <w:p>
            <w:pPr>
              <w:keepNext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Lease intelligence is the surest win: abstracting a complex lease takes a human 2–3 hours; AI does it in minutes — across 250+ leases that is one to two analysts of capacity recovered without new headcount.</w:t>
            </w:r>
          </w:p>
          <w:p>
            <w:pPr>
              <w:keepNext w:val="false"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Only ~5% of real-estate firms have made AI deliver. No Westside family owner-operator is known to have built this layer — Anderson can hold a genuine first-mover position.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How AI Helps — Two Fronts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1EAAC8"/>
                <w:sz w:val="32"/>
                <w:szCs w:val="32"/>
              </w:rPr>
              <w:t xml:space="preserve">How AI Helps — Two Fronts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plan keeps the two fronts separate on purpose, because the right tool for one is the wrong tool for the other. AI is the operating layer under Anderson’s family-owned platform — it amplifies "people come first," it does not replace the relationship.</w:t>
      </w:r>
    </w:p>
    <w:p>
      <w:pPr>
        <w:spacing w:after="0" w:before="12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The AI Operating Layer — Two Fronts" descr="The AI Operating Layer — Two Fronts" title="The AI Operating Layer — Two Fro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The AI operating layer: Front 1 wins and holds tenants; Front 2 runs the portfolio.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Front 1 — Leasing &amp; Tenant Growth (account-based)</w:t>
            </w:r>
          </w:p>
          <w:p>
            <w:pPr>
              <w:keepNext w:val="false"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Be the cited answer for "Century City office space" and Westside retail; track named in-market tenants and their brokers; draft on-brand proposals in hours; tell the Ares-anchor story to court the next wave. Never broad "lead generation" — depth and timing against a known universe.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Front 2 — Portfolio Operations &amp; Efficiency (the fastest return)</w:t>
            </w:r>
          </w:p>
          <w:p>
            <w:pPr>
              <w:keepNext w:val="false"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Abstract 250+ leases into a searchable, source-linked view; automate CAM across 53 properties; triage maintenance with a 24/7 tenant assistant; and put occupancy, rollover, and revenue in one live dashboard — one integrated layer, not 14 disconnected tools.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The Program — Start Small, Expand on Proof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The Program — Start Small, Expand on Proof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program lands small and expands. The entry below is the headline ask — recurring quick-win services plus a lease-intelligence pilot and a free Nexus Assess, with no large build. The bigger build (portfolio dashboard, tenant portal, leasing CRM, full lease rollout) comes later, once the entry proves the lift.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0"/>
        <w:gridCol w:w="3510"/>
        <w:gridCol w:w="1560"/>
      </w:tblGrid>
      <w:tr>
        <w:trPr>
          <w:cantSplit/>
          <w:tblHeader/>
        </w:trPr>
        <w:tc>
          <w:tcPr>
            <w:tcW w:type="dxa" w:w="429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Entry Program (Year 1)</w:t>
            </w:r>
          </w:p>
        </w:tc>
        <w:tc>
          <w:tcPr>
            <w:tcW w:type="dxa" w:w="351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5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Y1</w:t>
            </w:r>
          </w:p>
        </w:tc>
      </w:tr>
      <w:tr>
        <w:trPr>
          <w:cantSplit/>
        </w:trPr>
        <w:tc>
          <w:tcPr>
            <w:tcW w:type="dxa" w:w="429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SEO — Leasing Visibility + GEO</w:t>
            </w:r>
          </w:p>
        </w:tc>
        <w:tc>
          <w:tcPr>
            <w:tcW w:type="dxa" w:w="351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AEO/GEO for Century City office &amp; Westside retail</w:t>
            </w:r>
          </w:p>
        </w:tc>
        <w:tc>
          <w:tcPr>
            <w:tcW w:type="dxa" w:w="15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$15,000</w:t>
            </w:r>
          </w:p>
        </w:tc>
      </w:tr>
      <w:tr>
        <w:trPr>
          <w:cantSplit/>
        </w:trPr>
        <w:tc>
          <w:tcPr>
            <w:tcW w:type="dxa" w:w="429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AI — Lease-Intelligence Pilot + Advisor</w:t>
            </w:r>
          </w:p>
        </w:tc>
        <w:tc>
          <w:tcPr>
            <w:tcW w:type="dxa" w:w="351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Abstract a first lease tranche + AI roadmap</w:t>
            </w:r>
          </w:p>
        </w:tc>
        <w:tc>
          <w:tcPr>
            <w:tcW w:type="dxa" w:w="15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$30,000</w:t>
            </w:r>
          </w:p>
        </w:tc>
      </w:tr>
      <w:tr>
        <w:trPr>
          <w:cantSplit/>
        </w:trPr>
        <w:tc>
          <w:tcPr>
            <w:tcW w:type="dxa" w:w="429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AI — Executive AI Workshop</w:t>
            </w:r>
          </w:p>
        </w:tc>
        <w:tc>
          <w:tcPr>
            <w:tcW w:type="dxa" w:w="351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Leadership session to prioritize the roadmap</w:t>
            </w:r>
          </w:p>
        </w:tc>
        <w:tc>
          <w:tcPr>
            <w:tcW w:type="dxa" w:w="15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$5,000</w:t>
            </w:r>
          </w:p>
        </w:tc>
      </w:tr>
      <w:tr>
        <w:trPr>
          <w:cantSplit/>
        </w:trPr>
        <w:tc>
          <w:tcPr>
            <w:tcW w:type="dxa" w:w="429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Nexus Assess — Risk Scan</w:t>
            </w:r>
          </w:p>
        </w:tc>
        <w:tc>
          <w:tcPr>
            <w:tcW w:type="dxa" w:w="351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Free, no-commitment IT/security assessment</w:t>
            </w:r>
          </w:p>
        </w:tc>
        <w:tc>
          <w:tcPr>
            <w:tcW w:type="dxa" w:w="15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429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ENTRY PROGRAM — the easy yes</w:t>
            </w:r>
          </w:p>
        </w:tc>
        <w:tc>
          <w:tcPr>
            <w:tcW w:type="dxa" w:w="351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No large build to begin</w:t>
            </w:r>
          </w:p>
        </w:tc>
        <w:tc>
          <w:tcPr>
            <w:tcW w:type="dxa" w:w="15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~$50,000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Modeled against that small entry, the return is strong and honest (all figures estimated, conservative, and calibrated on a discovery call):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374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Year-1 Value at Stake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Downside-Protected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Likely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Upside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Total value attributed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$75,000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$215,000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$410,000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Technijian ENTRY investment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~$50,000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~$50,000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~$50,000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Modeled ROI vs. entry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1.5×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4.3×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8.2×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Roadmap &amp; Next Step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1EAAC8"/>
                <w:sz w:val="32"/>
                <w:szCs w:val="32"/>
              </w:rPr>
              <w:t xml:space="preserve">Roadmap &amp; Next Step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 90 / 180 / 365-day cadence, sequenced land-first: prove the lease-intelligence win and switch on leasing visibility, then build the account-based leasing engine, then the portfolio intelligence layer and scale.</w:t>
      </w:r>
    </w:p>
    <w:p>
      <w:pPr>
        <w:spacing w:after="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Anderson 90/180/365 Roadmap" descr="Anderson 90/180/365 Roadmap" title="Anderson 90/180/365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90 / 180 / 365-Day Roadmap — prove the highest-ROI win first, then the engine, then scale.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6"/>
                <w:szCs w:val="26"/>
              </w:rPr>
              <w:t xml:space="preserve">A 30-minute conversation is the next step.</w:t>
            </w:r>
          </w:p>
          <w:p>
            <w:pPr>
              <w:spacing w:after="80"/>
              <w:jc w:val="center"/>
            </w:pPr>
            <w:r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  <w:t xml:space="preserve">We can run the free Nexus Assess in parallel, and return a calibrated ROI model and fixed-scope plan within 5 business days.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22"/>
                <w:szCs w:val="22"/>
              </w:rPr>
              <w:t xml:space="preserve">Ravi Jain, Founder &amp; CEO  ·  rjain@technijian.com  ·  949.379.8499  ·  technijian.com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center"/>
      </w:pPr>
      <w:r>
        <w:rPr>
          <w:rFonts w:ascii="Open Sans" w:cs="Open Sans" w:eastAsia="Open Sans" w:hAnsi="Open Sans"/>
          <w:b w:val="false"/>
          <w:bCs w:val="false"/>
          <w:i/>
          <w:iCs/>
          <w:color w:val="59595B"/>
          <w:sz w:val="20"/>
          <w:szCs w:val="20"/>
        </w:rPr>
        <w:t xml:space="preserve">The full 25-page plan — personas, competitive landscape, capability proof, both fronts in detail, and the complete investment map — is ready on request.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 |  18 Technology Dr., Ste 141, Irvine, CA 92618  |  949.379.8499  |  technijian.com  |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59595B"/>
        <w:sz w:val="16"/>
        <w:szCs w:val="16"/>
      </w:rPr>
      <w:t xml:space="preserve"> of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2400"/>
      <w:gridCol w:w="69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52400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single" w:color="006DB6" w:sz="6"/>
            <w:right w:val="none" w:color="FFFFFF" w:sz="0"/>
          </w:tcBorders>
          <w:vAlign w:val="bottom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AI Growth — Executive Summary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Open Sans" w:cs="Open Sans" w:eastAsia="Open Sans" w:hAnsi="Open Sans"/>
      <w:b/>
      <w:bCs/>
      <w:color w:val="FFFFFF"/>
      <w:sz w:val="2"/>
      <w:szCs w:val="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a411e2cba4fb0a0de5b42d0cbf546939e758dd.png"/><Relationship Id="rId10" Type="http://schemas.openxmlformats.org/officeDocument/2006/relationships/image" Target="media/80d6ff4a78c30f9617988f2483de7ae82dea3bd4.png"/><Relationship Id="rId11" Type="http://schemas.openxmlformats.org/officeDocument/2006/relationships/image" Target="media/466f0f1b7a4b62cd044f51463f8eef138f95ba9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2026-06-08T17:34:36.702Z</dcterms:created>
  <dcterms:modified xsi:type="dcterms:W3CDTF">2026-06-08T17:34:36.704Z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