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1450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300"/>
            </w:pPr>
            <w: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56"/>
                <w:szCs w:val="56"/>
              </w:rPr>
              <w:t xml:space="preserve">ThriveWell Schools</w:t>
            </w:r>
          </w:p>
          <w:p>
            <w:pPr>
              <w:spacing w:after="8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6"/>
                <w:szCs w:val="36"/>
              </w:rPr>
              <w:t xml:space="preserve">AI Growth Blueprint</w:t>
            </w:r>
          </w:p>
          <w:p>
            <w:pPr>
              <w:spacing w:after="400"/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1EAAC8"/>
                <w:sz w:val="28"/>
                <w:szCs w:val="28"/>
              </w:rPr>
              <w:t xml:space="preserve">Executive Summary</w:t>
            </w:r>
          </w:p>
          <w:p>
            <w:pPr>
              <w:spacing w:after="8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2"/>
                <w:szCs w:val="22"/>
              </w:rPr>
              <w:t xml:space="preserve">Scaling Restorative Justice &amp; Trauma-Informed Excellence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2"/>
                <w:szCs w:val="22"/>
              </w:rPr>
              <w:t xml:space="preserve">Across California's K-12 School Districts</w:t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Prepared for Dr. Jennifer Lynn-Whaley, PhD  |  2026-06-08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Open Sans" w:cs="Open Sans" w:eastAsia="Open Sans" w:hAnsi="Open Sans"/>
          <w:b/>
          <w:bCs/>
          <w:caps/>
          <w:color w:val="006DB6"/>
          <w:sz w:val="20"/>
          <w:szCs w:val="20"/>
        </w:rPr>
        <w:t xml:space="preserve">THE MOMENT</w:t>
      </w:r>
    </w:p>
    <w:p>
      <w:pPr>
        <w:spacing w:after="80" w:before="0"/>
      </w:pPr>
      <w:r>
        <w:rPr>
          <w:rFonts w:ascii="Open Sans" w:cs="Open Sans" w:eastAsia="Open Sans" w:hAnsi="Open Sans"/>
          <w:b/>
          <w:bCs/>
          <w:color w:val="006DB6"/>
          <w:sz w:val="30"/>
          <w:szCs w:val="30"/>
        </w:rPr>
        <w:t xml:space="preserve">California's Historic Funding Window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$8B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CA Wellness Investment
(CYBHI + CCSPP)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8"/>
                <w:szCs w:val="48"/>
              </w:rPr>
              <w:t xml:space="preserve">70%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Behavioral Referral Drop
Acquired CA Middle School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8"/>
                <w:szCs w:val="48"/>
              </w:rPr>
              <w:t xml:space="preserve">53%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Teacher Burnout Rate
RAND 2025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37%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Schools Without
Formal SEL Curriculum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California has committed $8 billion to children's behavioral health and school climate — the largest investment window in state history. Districts are receiving discretionary block grants, LCFF increases, and Title IV allocations earmarked for exactly the kind of trauma-informed, restorative justice implementation that ThriveWell delivers.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At the same time, teacher burnout is at crisis levels (53% report burnout — student behavior management is the #1 driver). Counselors are overwhelmed. The school-to-prison pipeline is under legislative scrutiny. And federal grant cuts are accelerating district urgency to spend state dollars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ThriveWell's Position</w:t>
            </w:r>
          </w:p>
          <w:p>
            <w:pPr>
              <w:keepNext w:val="false"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No competitor holds the combination: Restorative Justice + Trauma-Informed Practice + School-to-Prison Pipeline Prevention + PhD-backed research credibility + implementation coaching that stays. The question is not whether this work is needed — it is. The question is how fast ThriveWell can reach the districts that most need 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320"/>
      </w:pPr>
      <w:r>
        <w:rPr>
          <w:rFonts w:ascii="Open Sans" w:cs="Open Sans" w:eastAsia="Open Sans" w:hAnsi="Open Sans"/>
          <w:b/>
          <w:bCs/>
          <w:caps/>
          <w:color w:val="006DB6"/>
          <w:sz w:val="20"/>
          <w:szCs w:val="20"/>
        </w:rPr>
        <w:t xml:space="preserve">THREE MOVES</w:t>
      </w:r>
    </w:p>
    <w:p>
      <w:pPr>
        <w:spacing w:after="80" w:before="0"/>
      </w:pPr>
      <w:r>
        <w:rPr>
          <w:rFonts w:ascii="Open Sans" w:cs="Open Sans" w:eastAsia="Open Sans" w:hAnsi="Open Sans"/>
          <w:b/>
          <w:bCs/>
          <w:color w:val="006DB6"/>
          <w:sz w:val="30"/>
          <w:szCs w:val="30"/>
        </w:rPr>
        <w:t xml:space="preserve">The ThriveWell AI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200"/>
        <w:gridCol w:w="2080"/>
      </w:tblGrid>
      <w:tr>
        <w:trPr>
          <w:cantSplit/>
          <w:tblHeader/>
        </w:trPr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Motion</w:t>
            </w:r>
          </w:p>
        </w:tc>
        <w:tc>
          <w:tcPr>
            <w:tcW w:type="dxa" w:w="5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Get Found</w:t>
            </w:r>
          </w:p>
        </w:tc>
        <w:tc>
          <w:tcPr>
            <w:tcW w:type="dxa" w:w="5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Rank for "trauma-informed professional development California," optimize for AI-generated search answers, amplify Jennifer's "Neuroscience Behind Misbehavior" research into inbound district conversations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— Education Authority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0"/>
                <w:szCs w:val="20"/>
              </w:rPr>
              <w:t xml:space="preserve">Win Districts</w:t>
            </w:r>
          </w:p>
        </w:tc>
        <w:tc>
          <w:tcPr>
            <w:tcW w:type="dxa" w:w="5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Monitor named-account triggers (CYBHI grants, new superintendents, CA Dashboard flags); match ThriveWell to open grants; systematize outcome data that wins the next contract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Lead Gen + Grant AI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Scale &amp; Serve</w:t>
            </w:r>
          </w:p>
        </w:tc>
        <w:tc>
          <w:tcPr>
            <w:tcW w:type="dxa" w:w="5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Deliver Strong Beginnings, Trauma Foundations, and Staff Resilience virtually; remove Jennifer's geographic ceiling; give district leaders the data dashboard that renews contracts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Dev — ThriveWell Platform</w:t>
            </w:r>
          </w:p>
        </w:tc>
      </w:tr>
    </w:tbl>
    <w:p>
      <w:r>
        <w:br w:type="page"/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ThriveWell AI Growth Architecture" descr="ThriveWell AI Growth Architecture" title="ThriveWell AI Growth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Figure 1: Three-motion AI growth engine — Get Found, Win Districts, Scale &amp; Serve</w:t>
      </w:r>
    </w:p>
    <w:p>
      <w:pPr>
        <w:spacing w:after="0" w:before="200"/>
      </w:pPr>
      <w:r>
        <w:t xml:space="preserve"/>
      </w:r>
    </w:p>
    <w:p>
      <w:pPr>
        <w:spacing w:after="100" w:before="320"/>
      </w:pPr>
      <w:r>
        <w:rPr>
          <w:rFonts w:ascii="Open Sans" w:cs="Open Sans" w:eastAsia="Open Sans" w:hAnsi="Open Sans"/>
          <w:b/>
          <w:bCs/>
          <w:caps/>
          <w:color w:val="006DB6"/>
          <w:sz w:val="20"/>
          <w:szCs w:val="20"/>
        </w:rPr>
        <w:t xml:space="preserve">THE INVESTMENT</w:t>
      </w:r>
    </w:p>
    <w:p>
      <w:pPr>
        <w:spacing w:after="80" w:before="0"/>
      </w:pPr>
      <w:r>
        <w:rPr>
          <w:rFonts w:ascii="Open Sans" w:cs="Open Sans" w:eastAsia="Open Sans" w:hAnsi="Open Sans"/>
          <w:b/>
          <w:bCs/>
          <w:color w:val="006DB6"/>
          <w:sz w:val="28"/>
          <w:szCs w:val="28"/>
        </w:rPr>
        <w:t xml:space="preserve">Start at Entry — Expand as Growth Confirms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 Investment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Expected ROI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0"/>
                <w:szCs w:val="20"/>
              </w:rPr>
              <w:t xml:space="preserve">Entry (Phase 1)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Authority + My AI Workshop + My AI Fractional Advisor Starter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0"/>
                <w:szCs w:val="20"/>
              </w:rPr>
              <w:t xml:space="preserve">$34,988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0"/>
                <w:szCs w:val="20"/>
              </w:rPr>
              <w:t xml:space="preserve">1.7×–5.1×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Full Engine (Phase 2)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Adds: My AI Lead Gen Pro + Advisor upgrade + My Dev Platform Build + Managed Services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$135,576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2.7×–5.3×+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The Entry Case Makes Itself</w:t>
            </w:r>
          </w:p>
          <w:p>
            <w:pPr>
              <w:keepNext w:val="false"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At $34,988 for Year 1, a single new district training and coaching contract recovers the investment. The expected case — 2 to 3 new district engagements over 12 months of SEO authority-building and account intelligence — is a 3.4× to 5.1× return. Contract values shown are illustrative; ThriveWell's actual pricing determines the precise multiple.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Open Sans" w:cs="Open Sans" w:eastAsia="Open Sans" w:hAnsi="Open Sans"/>
          <w:b/>
          <w:bCs/>
          <w:caps/>
          <w:color w:val="006DB6"/>
          <w:sz w:val="20"/>
          <w:szCs w:val="20"/>
        </w:rPr>
        <w:t xml:space="preserve">THE ROADMAP</w:t>
      </w:r>
    </w:p>
    <w:p>
      <w:pPr>
        <w:spacing w:after="100" w:before="0"/>
      </w:pPr>
      <w:r>
        <w:rPr>
          <w:rFonts w:ascii="Open Sans" w:cs="Open Sans" w:eastAsia="Open Sans" w:hAnsi="Open Sans"/>
          <w:b/>
          <w:bCs/>
          <w:color w:val="006DB6"/>
          <w:sz w:val="28"/>
          <w:szCs w:val="28"/>
        </w:rPr>
        <w:t xml:space="preserve">90-Day Foundation → 180-Day Acceleration → 365-Day Scale</w:t>
      </w:r>
    </w:p>
    <w:p>
      <w:pPr>
        <w:spacing w:after="0" w:before="10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ThriveWell 90/180/365 Roadmap" descr="ThriveWell 90/180/365 Roadmap" title="ThriveWell 90/180/365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Figure 2: Implementation roadmap — get found, win districts, scale delivery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rPr>
          <w:cantSplit/>
          <w:tblHeader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80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Days 1–90
Foundation</w:t>
            </w:r>
          </w:p>
        </w:tc>
        <w:tc>
          <w:tcPr>
            <w:tcW w:type="dxa" w:w="4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AI Workshop + SEO launch + website case study + LinkedIn "Neuroscience Behind Misbehavior" series</w:t>
            </w:r>
          </w:p>
        </w:tc>
        <w:tc>
          <w:tcPr>
            <w:tcW w:type="dxa" w:w="280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ThriveWell visible in search. Consultation pipeline active.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0"/>
                <w:szCs w:val="20"/>
              </w:rPr>
              <w:t xml:space="preserve">Days 91–180
Acceleration</w:t>
            </w:r>
          </w:p>
        </w:tc>
        <w:tc>
          <w:tcPr>
            <w:tcW w:type="dxa" w:w="4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AI Lead Gen launch + Grant Application AI + Outcome documentation system + Virtual delivery pilot</w:t>
            </w:r>
          </w:p>
        </w:tc>
        <w:tc>
          <w:tcPr>
            <w:tcW w:type="dxa" w:w="280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2-4 new district conversations in pipeline. Grant applications submitted.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Days 181–365
Scale</w:t>
            </w:r>
          </w:p>
        </w:tc>
        <w:tc>
          <w:tcPr>
            <w:tcW w:type="dxa" w:w="4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ThriveWell Platform live + School Climate Dashboard + 10-15 district targets + Certification program design</w:t>
            </w:r>
          </w:p>
        </w:tc>
        <w:tc>
          <w:tcPr>
            <w:tcW w:type="dxa" w:w="280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5-12 active district contracts. Online revenue stream launched.</w:t>
            </w:r>
          </w:p>
        </w:tc>
      </w:tr>
    </w:tbl>
    <w:p>
      <w:r>
        <w:br w:type="page"/>
      </w:r>
    </w:p>
    <w:p>
      <w:pPr>
        <w:spacing w:after="100" w:before="320"/>
      </w:pPr>
      <w:r>
        <w:rPr>
          <w:rFonts w:ascii="Open Sans" w:cs="Open Sans" w:eastAsia="Open Sans" w:hAnsi="Open Sans"/>
          <w:b/>
          <w:bCs/>
          <w:caps/>
          <w:color w:val="F67D4B"/>
          <w:sz w:val="20"/>
          <w:szCs w:val="20"/>
        </w:rPr>
        <w:t xml:space="preserve">START THIS WEEK — NO BUDGET REQUIRED</w:t>
      </w:r>
    </w:p>
    <w:p>
      <w:pPr>
        <w:spacing w:after="100" w:before="0"/>
      </w:pPr>
      <w:r>
        <w:rPr>
          <w:rFonts w:ascii="Open Sans" w:cs="Open Sans" w:eastAsia="Open Sans" w:hAnsi="Open Sans"/>
          <w:b/>
          <w:bCs/>
          <w:color w:val="006DB6"/>
          <w:sz w:val="28"/>
          <w:szCs w:val="28"/>
        </w:rPr>
        <w:t xml:space="preserve">Six Quick Wins Before Any Contract Is Signed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cantSplit/>
          <w:tblHeader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Add the 70% referral reduction outcome prominently to the homepage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Single sentence that changes conversion rate for every visitor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Publish the Park Middle School case study (600 words) on website, Substack, LinkedIn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Organic ranking for "trauma-informed school results California" within 60 days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LinkedIn series: repurpose "Neuroscience Behind Misbehavior" paper into 4 posts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Reaches Jennifer's 464+ education-professional connections; positions as thought leader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Submit one ACSA or CDE conference speaking proposal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"Breaking the School-to-Prison Pipeline" session — direct access to superintendent buyers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Add qualifying intake questions to the free consultation form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Triples information quality from first contact; better prepared discovery calls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Claim a Google Business Profile for ThriveWell Schools in Berkeley, CA</w:t>
            </w:r>
          </w:p>
        </w:tc>
        <w:tc>
          <w:tcPr>
            <w:tcW w:type="dxa" w:w="4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Local SEO anchor; enables Google reviews; surfaces in K-12 consultant searches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What Happens Next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1. Review this summary and identify any corrections or clarifications.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2. Schedule a 30-minute call with Technijian to walk through the three motions and calibrate the investment.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3. Technijian scopes the entry package within 3 business days of the call.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4. My AI Executive Workshop — Day 1 — maps ThriveWell's full AI growth opportunity.</w:t>
            </w:r>
          </w:p>
          <w:p>
            <w:pPr>
              <w:keepNext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  <w:p>
            <w:pPr>
              <w:keepNext w:val="false"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Contact: 949.379.8499  |  technijian.com  |  18 Technology Dr., Ste 141, Irvine, CA 92618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006DB6"/>
          <w:sz w:val="24"/>
          <w:szCs w:val="24"/>
        </w:rPr>
        <w:t xml:space="preserve">"technology as a solution"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18 Technology Dr., Ste 141, Irvine, CA 92618  |  949.379.8499  |  technijian.com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5240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Executive Summary  |  ThriveWell Schools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Open Sans" w:cs="Open Sans" w:eastAsia="Open Sans" w:hAnsi="Open Sans"/>
      <w:b/>
      <w:bCs/>
      <w:color w:val="006D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a4a78d494acbdec7b293f31fe7ca725d3db8502.png"/><Relationship Id="rId12" Type="http://schemas.openxmlformats.org/officeDocument/2006/relationships/image" Target="media/3865d37c1b7f83c03cefa055127522081080d424.png"/><Relationship Id="rId13" Type="http://schemas.openxmlformats.org/officeDocument/2006/relationships/image" Target="media/a70a4558168fdc7eac69755bd4c33e8e8e401c0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2026-06-08T17:17:06.875Z</dcterms:created>
  <dcterms:modified xsi:type="dcterms:W3CDTF">2026-06-08T17:17:06.877Z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