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120" w:line="276" w:lineRule="auto"/>
      </w:pPr>
      <w:r>
        <w:rPr>
          <w:b/>
          <w:color w:val="F67D4B"/>
          <w:sz w:val="36"/>
        </w:rPr>
        <w:t>TECHNIJIAN</w:t>
      </w:r>
    </w:p>
    <w:p>
      <w:pPr>
        <w:spacing w:before="0" w:after="60" w:line="276" w:lineRule="auto"/>
      </w:pPr>
      <w:r>
        <w:rPr>
          <w:b/>
          <w:color w:val="1EAAC8"/>
          <w:sz w:val="17"/>
        </w:rPr>
        <w:t>CLIENT APPROVAL REPORT</w:t>
      </w:r>
    </w:p>
    <w:p>
      <w:pPr>
        <w:spacing w:before="0" w:after="60" w:line="276" w:lineRule="auto"/>
      </w:pPr>
      <w:r>
        <w:rPr>
          <w:b/>
          <w:color w:val="1A2B3C"/>
          <w:sz w:val="56"/>
        </w:rPr>
        <w:t>OXPLive MCP Server</w:t>
      </w:r>
    </w:p>
    <w:p>
      <w:pPr>
        <w:spacing w:before="0" w:after="200" w:line="276" w:lineRule="auto"/>
      </w:pPr>
      <w:r>
        <w:rPr>
          <w:b/>
          <w:color w:val="006DB6"/>
          <w:sz w:val="26"/>
        </w:rPr>
        <w:t>Secure AI Access to the OXPLive Platform</w:t>
      </w:r>
    </w:p>
    <w:p>
      <w:pPr>
        <w:pBdr>
          <w:bottom w:val="single" w:sz="12" w:space="1" w:color="006DB6"/>
        </w:pBdr>
        <w:spacing w:before="0" w:after="0" w:line="276" w:lineRule="auto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6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FFFFFF"/>
                <w:sz w:val="18"/>
              </w:rPr>
              <w:t>Prepared for</w:t>
            </w:r>
          </w:p>
        </w:tc>
        <w:tc>
          <w:tcPr>
            <w:tcW w:type="dxa" w:w="720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color w:val="FFFFFF"/>
                <w:sz w:val="18"/>
              </w:rPr>
              <w:t>OrthoKinetix (ORX)</w:t>
            </w:r>
          </w:p>
        </w:tc>
      </w:tr>
      <w:tr>
        <w:tc>
          <w:tcPr>
            <w:tcW w:type="dxa" w:w="216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FFFFFF"/>
                <w:sz w:val="18"/>
              </w:rPr>
              <w:t>Prepared by</w:t>
            </w:r>
          </w:p>
        </w:tc>
        <w:tc>
          <w:tcPr>
            <w:tcW w:type="dxa" w:w="720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color w:val="AABBCC"/>
                <w:sz w:val="18"/>
              </w:rPr>
              <w:t>Technijian</w:t>
            </w:r>
          </w:p>
        </w:tc>
      </w:tr>
      <w:tr>
        <w:tc>
          <w:tcPr>
            <w:tcW w:type="dxa" w:w="216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FFFFFF"/>
                <w:sz w:val="18"/>
              </w:rPr>
              <w:t>Project</w:t>
            </w:r>
          </w:p>
        </w:tc>
        <w:tc>
          <w:tcPr>
            <w:tcW w:type="dxa" w:w="720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color w:val="AABBCC"/>
                <w:sz w:val="18"/>
              </w:rPr>
              <w:t>OXPLive Modernization — Phase B Deliverable</w:t>
            </w:r>
          </w:p>
        </w:tc>
      </w:tr>
      <w:tr>
        <w:tc>
          <w:tcPr>
            <w:tcW w:type="dxa" w:w="216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720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color w:val="AABBCC"/>
                <w:sz w:val="18"/>
              </w:rPr>
              <w:t>June 2026</w:t>
            </w:r>
          </w:p>
        </w:tc>
      </w:tr>
      <w:tr>
        <w:tc>
          <w:tcPr>
            <w:tcW w:type="dxa" w:w="216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color w:val="AABBCC"/>
                <w:sz w:val="18"/>
              </w:rPr>
              <w:t>Pending Client Approval — Phase F (Build)</w:t>
            </w:r>
          </w:p>
        </w:tc>
      </w:tr>
      <w:tr>
        <w:tc>
          <w:tcPr>
            <w:tcW w:type="dxa" w:w="216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7200"/>
            <w:shd w:val="clear" w:color="auto" w:fill="1A2B3C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before="30" w:after="30" w:line="276" w:lineRule="auto"/>
            </w:pPr>
            <w:r>
              <w:rPr>
                <w:color w:val="AABBCC"/>
                <w:sz w:val="18"/>
              </w:rPr>
              <w:t>Confidential — OrthoKinetix / Technijian Use Only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60" w:after="20" w:line="276" w:lineRule="auto"/>
            </w:pPr>
            <w:r>
              <w:rPr>
                <w:b/>
                <w:color w:val="1EAAC8"/>
                <w:sz w:val="40"/>
              </w:rPr>
              <w:t>116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60" w:after="20" w:line="276" w:lineRule="auto"/>
            </w:pPr>
            <w:r>
              <w:rPr>
                <w:b/>
                <w:color w:val="1EAAC8"/>
                <w:sz w:val="40"/>
              </w:rPr>
              <w:t>110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60" w:after="20" w:line="276" w:lineRule="auto"/>
            </w:pPr>
            <w:r>
              <w:rPr>
                <w:b/>
                <w:color w:val="1EAAC8"/>
                <w:sz w:val="40"/>
              </w:rPr>
              <w:t>94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60" w:after="20" w:line="276" w:lineRule="auto"/>
            </w:pPr>
            <w:r>
              <w:rPr>
                <w:b/>
                <w:color w:val="1EAAC8"/>
                <w:sz w:val="40"/>
              </w:rPr>
              <w:t>20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60" w:after="20" w:line="276" w:lineRule="auto"/>
            </w:pPr>
            <w:r>
              <w:rPr>
                <w:b/>
                <w:color w:val="1EAAC8"/>
                <w:sz w:val="40"/>
              </w:rPr>
              <w:t>100%</w:t>
            </w:r>
          </w:p>
        </w:tc>
      </w:tr>
      <w:tr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0" w:after="60" w:line="276" w:lineRule="auto"/>
            </w:pPr>
            <w:r>
              <w:rPr>
                <w:color w:val="AABBCC"/>
                <w:sz w:val="15"/>
              </w:rPr>
              <w:t>Stored Procedures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0" w:after="60" w:line="276" w:lineRule="auto"/>
            </w:pPr>
            <w:r>
              <w:rPr>
                <w:color w:val="AABBCC"/>
                <w:sz w:val="15"/>
              </w:rPr>
              <w:t>API Endpoints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0" w:after="60" w:line="276" w:lineRule="auto"/>
            </w:pPr>
            <w:r>
              <w:rPr>
                <w:color w:val="AABBCC"/>
                <w:sz w:val="15"/>
              </w:rPr>
              <w:t>MCP Tools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0" w:after="60" w:line="276" w:lineRule="auto"/>
            </w:pPr>
            <w:r>
              <w:rPr>
                <w:color w:val="AABBCC"/>
                <w:sz w:val="15"/>
              </w:rPr>
              <w:t>Functional Domains</w:t>
            </w:r>
          </w:p>
        </w:tc>
        <w:tc>
          <w:tcPr>
            <w:tcW w:type="dxa" w:w="19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jc w:val="center"/>
              <w:spacing w:before="0" w:after="60" w:line="276" w:lineRule="auto"/>
            </w:pPr>
            <w:r>
              <w:rPr>
                <w:color w:val="AABBCC"/>
                <w:sz w:val="15"/>
              </w:rPr>
              <w:t>DB Call Coverage</w:t>
            </w:r>
          </w:p>
        </w:tc>
      </w:tr>
    </w:tbl>
    <w:p>
      <w:pPr>
        <w:spacing w:before="160" w:after="0" w:line="276" w:lineRule="auto"/>
      </w:pPr>
    </w:p>
    <w:p>
      <w:pPr>
        <w:pBdr>
          <w:bottom w:val="single" w:sz="8" w:space="1" w:color="F67D4B"/>
        </w:pBdr>
        <w:spacing w:before="0" w:after="0" w:line="276" w:lineRule="auto"/>
      </w:pPr>
    </w:p>
    <w:p>
      <w:pPr>
        <w:spacing w:before="40" w:after="0" w:line="276" w:lineRule="auto"/>
      </w:pPr>
      <w:r>
        <w:rPr>
          <w:color w:val="718096"/>
          <w:sz w:val="15"/>
        </w:rPr>
        <w:t xml:space="preserve">Technijian · technology as a solution     </w:t>
      </w:r>
      <w:r>
        <w:rPr>
          <w:color w:val="718096"/>
          <w:sz w:val="15"/>
        </w:rPr>
        <w:t xml:space="preserve">949.379.8499 · technijian.com     </w:t>
      </w:r>
      <w:r>
        <w:rPr>
          <w:color w:val="718096"/>
          <w:sz w:val="15"/>
        </w:rPr>
        <w:t>Confidential — OrthoKinetix / Technijian Only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01   Executive Summary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OrthoKinetix operates the OXPLive practice management platform — a mature SQL Server system running the full DME order lifecycle: intake, benefits verification, insurance authorization, shipping, billing, re-billing, and collections across 13 workflow queues.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Technijian proposes to make that data safely available to AI assistants (Claude) through a purpose-built Model Context Protocol (MCP) server. The server connects Claude directly to the OXPLive database via a set of 116 curated stored procedures across 20 functional domains — without granting the AI any direct table access.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governing rule: every AI request follows a single, auditable path — Claude calls a documented MCP tool → the tool executes an approved stored procedure → the stored procedure reads or writes the database. No exceptions. No inline SQL. No table-level permissions for the AI service account.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This document presents the complete scope of what will be built, the 116-procedure coverage matrix, the security and HIPAA controls in place, the delivery plan, and the approval request to begin Phase F (Build). The full engineering specification — including every stored procedure, its parameters, return schema, API endpoint, and MCP tool definition — is provided in the companion STP-API-MCP Coverage Matrix.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02   Why Now — The Current-State Gap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Technijian has been the active IT and development partner for OrthoKinetix since approximately 2015. As part of the ongoing OXPLive Modernization project (migrating from ColdFusion to .NET 8 / React 18 under Technijian SDLC v6.0), a complete database-call inventory was conducted in early 2026.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What Was Found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legacy OXPLive ColdFusion frontend makes hundreds of direct database calls across 13 workflow queues. These calls are not governed — they bypass stored procedures in many places, embed business logic in the UI layer, and contain hardcoded credentials. This creates three gaps that block safe AI access today: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No single governed access path. </w:t>
      </w:r>
      <w:r>
        <w:rPr>
          <w:color w:val="2D3748"/>
          <w:sz w:val="19"/>
        </w:rPr>
        <w:t>The application reaches the database through a mix of stored procedures, inline SQL, and direct table reads. An AI assistant granted the same access would have uncontrolled write access to production data.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No audit trail by design. </w:t>
      </w:r>
      <w:r>
        <w:rPr>
          <w:color w:val="2D3748"/>
          <w:sz w:val="19"/>
        </w:rPr>
        <w:t>Direct database calls leave no application-level record of who accessed what, when, or why — a HIPAA audit requirement.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No semantic boundary. </w:t>
      </w:r>
      <w:r>
        <w:rPr>
          <w:color w:val="2D3748"/>
          <w:sz w:val="19"/>
        </w:rPr>
        <w:t>Without a procedure layer, there is no clean way to expose only what the AI should see while hiding raw PHI fields, financial data, and operational tables.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The Solution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OXPLive Modernization addresses all three gaps by establishing a complete, SP-Only database access pattern. Every frontend interaction — and every AI tool call — must go through a named, documented, version-controlled stored procedure. This is both a modernization best practice and the prerequisite for safe AI integration.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03   Architecture — DB-Direct Design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OXPLive MCP server uses a DB-Direct architecture: Claude connects to the MCP server via Streamable HTTP, and the server executes stored procedures directly against SQL Server via a secure connection pool. There is no intermediate REST API layer for MCP access.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Request Path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032"/>
            <w:shd w:val="clear" w:color="auto" w:fill="F67D4B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50" w:after="50" w:line="276" w:lineRule="auto"/>
            </w:pPr>
            <w:r>
              <w:rPr>
                <w:b/>
                <w:color w:val="FFFFFF"/>
                <w:sz w:val="18"/>
              </w:rPr>
              <w:t>Claude (Desktop / Code / API)</w:t>
            </w:r>
          </w:p>
        </w:tc>
        <w:tc>
          <w:tcPr>
            <w:tcW w:type="dxa" w:w="547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50" w:after="50" w:line="276" w:lineRule="auto"/>
            </w:pPr>
            <w:r>
              <w:rPr>
                <w:i/>
                <w:color w:val="718096"/>
                <w:sz w:val="17"/>
              </w:rPr>
              <w:t>AI assistant — your staff or automated workflows</w:t>
            </w:r>
          </w:p>
        </w:tc>
      </w:tr>
      <w:tr>
        <w:tc>
          <w:tcPr>
            <w:tcW w:type="dxa" w:w="4032"/>
            <w:shd w:val="clear" w:color="auto" w:fill="006DB6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50" w:after="50" w:line="276" w:lineRule="auto"/>
            </w:pPr>
            <w:r>
              <w:rPr>
                <w:b/>
                <w:color w:val="FFFFFF"/>
                <w:sz w:val="18"/>
              </w:rPr>
              <w:t>Streamable HTTP  POST /mcp</w:t>
            </w:r>
          </w:p>
        </w:tc>
        <w:tc>
          <w:tcPr>
            <w:tcW w:type="dxa" w:w="547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50" w:after="50" w:line="276" w:lineRule="auto"/>
            </w:pPr>
            <w:r>
              <w:rPr>
                <w:i/>
                <w:color w:val="718096"/>
                <w:sz w:val="17"/>
              </w:rPr>
              <w:t>MCP 2025-03-26 spec · session-keyed · optional API-key</w:t>
            </w:r>
          </w:p>
        </w:tc>
      </w:tr>
      <w:tr>
        <w:tc>
          <w:tcPr>
            <w:tcW w:type="dxa" w:w="4032"/>
            <w:shd w:val="clear" w:color="auto" w:fill="1EAAC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50" w:after="50" w:line="276" w:lineRule="auto"/>
            </w:pPr>
            <w:r>
              <w:rPr>
                <w:b/>
                <w:color w:val="FFFFFF"/>
                <w:sz w:val="18"/>
              </w:rPr>
              <w:t>OXPLive MCP Server  Node.js + mssql</w:t>
            </w:r>
          </w:p>
        </w:tc>
        <w:tc>
          <w:tcPr>
            <w:tcW w:type="dxa" w:w="547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50" w:after="50" w:line="276" w:lineRule="auto"/>
            </w:pPr>
            <w:r>
              <w:rPr>
                <w:i/>
                <w:color w:val="718096"/>
                <w:sz w:val="17"/>
              </w:rPr>
              <w:t>94 MCP tools · dispatches to named stored procedures</w:t>
            </w:r>
          </w:p>
        </w:tc>
      </w:tr>
      <w:tr>
        <w:tc>
          <w:tcPr>
            <w:tcW w:type="dxa" w:w="4032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50" w:after="50" w:line="276" w:lineRule="auto"/>
            </w:pPr>
            <w:r>
              <w:rPr>
                <w:b/>
                <w:color w:val="FFFFFF"/>
                <w:sz w:val="18"/>
              </w:rPr>
              <w:t>SQL Server — oxadmin schema</w:t>
            </w:r>
          </w:p>
        </w:tc>
        <w:tc>
          <w:tcPr>
            <w:tcW w:type="dxa" w:w="547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50" w:after="50" w:line="276" w:lineRule="auto"/>
            </w:pPr>
            <w:r>
              <w:rPr>
                <w:i/>
                <w:color w:val="718096"/>
                <w:sz w:val="17"/>
              </w:rPr>
              <w:t>Service account EXECUTE-only on oxadmin schema · no table permissions</w:t>
            </w:r>
          </w:p>
        </w:tc>
      </w:tr>
      <w:tr>
        <w:tc>
          <w:tcPr>
            <w:tcW w:type="dxa" w:w="4032"/>
            <w:shd w:val="clear" w:color="auto" w:fill="718096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50" w:after="50" w:line="276" w:lineRule="auto"/>
            </w:pPr>
            <w:r>
              <w:rPr>
                <w:b/>
                <w:color w:val="FFFFFF"/>
                <w:sz w:val="18"/>
              </w:rPr>
              <w:t>OXPLive Tables · Views · Functions</w:t>
            </w:r>
          </w:p>
        </w:tc>
        <w:tc>
          <w:tcPr>
            <w:tcW w:type="dxa" w:w="547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50" w:after="50" w:line="276" w:lineRule="auto"/>
            </w:pPr>
            <w:r>
              <w:rPr>
                <w:i/>
                <w:color w:val="718096"/>
                <w:sz w:val="17"/>
              </w:rPr>
              <w:t>Production OrthoXpressDB — never directly accessible to the service account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Why DB-Direct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OXPLive Modernization Phase F will build a .NET 8 REST API, but the stored procedures are being designed now as part of Phase B. DB-Direct lets the MCP server go live the moment the stored procedures are tested — before the full API layer is complete — giving OrthoKinetix early AI access while the broader modernization continues.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Security posture is unchanged from an API-first design. The SQL Server service account (oxplive_mcp_svc) holds only EXECUTE on the oxadmin schema. It cannot read tables directly, run dynamic SQL, or access any object outside the curated procedure set.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Transport — Streamable HTTP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server implements the MCP 2025-03-26 Streamable HTTP transport specification:</w:t>
      </w:r>
    </w:p>
    <w:p>
      <w:pPr>
        <w:pStyle w:val="ListBullet"/>
        <w:spacing w:before="20" w:after="20" w:line="276" w:lineRule="auto"/>
      </w:pPr>
      <w:r>
        <w:rPr>
          <w:b/>
          <w:color w:val="006DB6"/>
          <w:sz w:val="19"/>
        </w:rPr>
        <w:t>POST /mcp</w:t>
      </w:r>
      <w:r>
        <w:rPr>
          <w:color w:val="2D3748"/>
          <w:sz w:val="19"/>
        </w:rPr>
        <w:t xml:space="preserve"> — Creates or resumes a session; handles all JSON-RPC tool calls</w:t>
      </w:r>
    </w:p>
    <w:p>
      <w:pPr>
        <w:pStyle w:val="ListBullet"/>
        <w:spacing w:before="20" w:after="20" w:line="276" w:lineRule="auto"/>
      </w:pPr>
      <w:r>
        <w:rPr>
          <w:b/>
          <w:color w:val="006DB6"/>
          <w:sz w:val="19"/>
        </w:rPr>
        <w:t>GET /mcp</w:t>
      </w:r>
      <w:r>
        <w:rPr>
          <w:color w:val="2D3748"/>
          <w:sz w:val="19"/>
        </w:rPr>
        <w:t xml:space="preserve"> — SSE stream for server-initiated messages (session-keyed)</w:t>
      </w:r>
    </w:p>
    <w:p>
      <w:pPr>
        <w:pStyle w:val="ListBullet"/>
        <w:spacing w:before="20" w:after="20" w:line="276" w:lineRule="auto"/>
      </w:pPr>
      <w:r>
        <w:rPr>
          <w:b/>
          <w:color w:val="006DB6"/>
          <w:sz w:val="19"/>
        </w:rPr>
        <w:t>DELETE /mcp</w:t>
      </w:r>
      <w:r>
        <w:rPr>
          <w:color w:val="2D3748"/>
          <w:sz w:val="19"/>
        </w:rPr>
        <w:t xml:space="preserve"> — Gracefully closes a session</w:t>
      </w:r>
    </w:p>
    <w:p>
      <w:pPr>
        <w:pStyle w:val="ListBullet"/>
        <w:spacing w:before="20" w:after="20" w:line="276" w:lineRule="auto"/>
      </w:pPr>
      <w:r>
        <w:rPr>
          <w:b/>
          <w:color w:val="006DB6"/>
          <w:sz w:val="19"/>
        </w:rPr>
        <w:t>GET /health</w:t>
      </w:r>
      <w:r>
        <w:rPr>
          <w:color w:val="2D3748"/>
          <w:sz w:val="19"/>
        </w:rPr>
        <w:t xml:space="preserve"> — Returns { status: "ok", sessions: N }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04   Domain Coverage Matrix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table below summarises the complete stored-procedure coverage across all 20 functional domains of the OXPLive system. Every domain corresponds to a distinct area of the OXPLive workflow UI. The full 116-row matrix — with individual SP parameters, return schemas, API endpoint definitions, and MCP tool specifications — is provided in the companion STP-API-MCP Coverage Matrix document.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6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Domain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STPs</w:t>
            </w:r>
          </w:p>
        </w:tc>
        <w:tc>
          <w:tcPr>
            <w:tcW w:type="dxa" w:w="86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</w:t>
              <w:br/>
              <w:t>Endpoints</w:t>
            </w:r>
          </w:p>
        </w:tc>
        <w:tc>
          <w:tcPr>
            <w:tcW w:type="dxa" w:w="79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MCP</w:t>
              <w:br/>
              <w:t>Tools</w:t>
            </w:r>
          </w:p>
        </w:tc>
        <w:tc>
          <w:tcPr>
            <w:tcW w:type="dxa" w:w="532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Business Purpose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Auth &amp; Session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User authentication, token lifecycle, session management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Patient / Account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18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16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16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Core patient record — demographics, insurance, job creation, medical history, status, cancellation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Insurance Authorization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Auth requests, line-item management, status tracking, approval workflow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Queue &amp; Workflow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13-stage workflow queue (Intake → Billing → Collections); job transitions, queue counts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Billing &amp; Claims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Fee schedules, billing search, claims processing, remittance management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Scheduling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Appointment creation, calendar search, therapist scheduling, 48-hour delivery alerts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Patient Experience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PSAT surveys, post-delivery call-back tracking, satisfaction scores, follow-up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8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Collector Actions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Daily collector call logs, AR action tracking, daily-total summaries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Products &amp; Inventory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Equipment catalog, SKU management, inventory levels, assignment to patients at delivery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Orders &amp; Purchasing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Purchase-order listing, vendor ordering, reorder tracking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11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Documents / Files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Document metadata, HIPAA-compliant signed download URLs for CMN, EDF, PHI files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12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Directory, Users &amp; Reps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8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Doctor/facility directory, sales rep management, referring physician lookup, staff directory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13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Time Records (HR)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Timecard entry, manager approval workflow, payroll-ready export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14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Lookups (Generic)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Shared reference data — insurance payer names, territories, status codes, dropdown values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15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Config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System-wide configuration and company-settings retrieval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16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Reporting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Billing collections, PSR, variance analysis, KPI dashboard data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17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Audit &amp; Activity Logs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HIPAA audit trail — user access log, data-change history, compliance events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18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Compliance / Scheduled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Mass job-move operations and compliance batch processing</w:t>
            </w:r>
          </w:p>
        </w:tc>
      </w:tr>
      <w:tr>
        <w:tc>
          <w:tcPr>
            <w:tcW w:type="dxa" w:w="3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19</w:t>
            </w:r>
          </w:p>
        </w:tc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Yes/No Module (PA/CMN/EDF)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86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7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53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Three compliance gates: PA status, CMN receipt, EDF sign-off — block queue progression</w:t>
            </w:r>
          </w:p>
        </w:tc>
      </w:tr>
      <w:tr>
        <w:tc>
          <w:tcPr>
            <w:tcW w:type="dxa" w:w="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20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Dashboard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7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53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Real-time territory and user activity dashboard — session-aware, role-filtered</w:t>
            </w:r>
          </w:p>
        </w:tc>
      </w:tr>
      <w:tr>
        <w:tc>
          <w:tcPr>
            <w:tcW w:type="dxa" w:w="360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2160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type="dxa" w:w="720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116</w:t>
            </w:r>
          </w:p>
        </w:tc>
        <w:tc>
          <w:tcPr>
            <w:tcW w:type="dxa" w:w="864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110</w:t>
            </w:r>
          </w:p>
        </w:tc>
        <w:tc>
          <w:tcPr>
            <w:tcW w:type="dxa" w:w="792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94</w:t>
            </w:r>
          </w:p>
        </w:tc>
        <w:tc>
          <w:tcPr>
            <w:tcW w:type="dxa" w:w="5328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AABBCC"/>
                <w:sz w:val="17"/>
              </w:rPr>
              <w:t>100% of OXPLive database calls covered</w:t>
            </w:r>
          </w:p>
        </w:tc>
      </w:tr>
    </w:tbl>
    <w:p>
      <w:pPr>
        <w:spacing w:before="40" w:after="0" w:line="276" w:lineRule="auto"/>
      </w:pPr>
      <w:r>
        <w:rPr>
          <w:i/>
          <w:color w:val="718096"/>
          <w:sz w:val="16"/>
        </w:rPr>
        <w:t>STPs = Stored Procedures.  API Endpoints = planned .NET 8 REST endpoints (Phase F).  MCP Tools = tools exposed to Claude via DB-Direct MCP server.  Some STPs are INTERNAL and are not exposed as MCP tools.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05   Detailed Capability Reference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Every stored procedure in the OXPLive MCP server is listed below, grouped by domain. Each row shows whether the operation reads data or writes/updates it, the API endpoint it maps to in Phase F, and a plain-English description of what OrthoKinetix staff and AI assistants can do with it. In total: 73 read operations, 34 write operations, and 9 internal procedures not exposed to clients.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 — Auth &amp; Session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usp_Auth_EnsureUser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confirms/creates the Azure AD user on first login; called by API middleware only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usp_Auth_GetCurrentUser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/api/me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Returns the logged-in user's name, email, roles, division, and territory to populate the app shell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usp_Auth_GetIdpConfig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returns MSAL configuration for the SPA; agents use client_credentials instead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usp_Auth_LogSessionHistory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records every page navigation for the Admin activity log; called by request pipeline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usp_Auth_RefreshToken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silently rotates access/refresh token pair when the SPA token expires; MSAL-managed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2 — Patient / Account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usp_Patient_Search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/api/patients/search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Find patients by name, account number, DOB, SSN-last-4, or phone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usp_Patient_GetDetail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Retrieve complete patient record: demographics, insurance, medical info, referring doctor, status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usp_Patient_Create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/api/patients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Create a new patient account with demographics, insurance, and medical intake data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usp_Patient_Update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/api/patients/{jobId}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Save edits to an existing patient record; changes are audited before/after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usp_Patient_GetSnapshot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/api/patients/{jobId}/snapshot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 complete printable snapshot: all products, billing codes, insurance, clinical notes in one call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usp_Patient_GetCoverage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/api/patients/{jobId}/coverage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payer name, policy number, group number, coverage type, and current auth numbers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usp_Patient_UpdateCoverage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/api/patients/{jobId}/coverage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primary or secondary insurance coverage without touching demographics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2.8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usp_Patient_GetOrigRep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/api/patients/{jobId}/orig-rep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the original rep assigned at intake — preserves commission origination credit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2.9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usp_Patient_SetOrigRep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/api/patients/{jobId}/orig-rep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Set or update the originating rep when first assigned during intake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2.10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usp_Patient_ListProducts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/api/patients/{jobId}/products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product/equipment line items with HCPCS codes, billing status, and auth notes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usp_Patient_AddProduct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/api/patients/{jobId}/products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Add a new product line item to the account; validates HCPCS code mapping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usp_Patient_UpdateProduct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/api/patients/{jobId}/products/{id}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quantity or notes on a product line item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usp_Patient_RemoveProduct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DELETE /api/patients/{jobId}/products/{id}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Remove a product line item; blocked if a claim has already been submitted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usp_Patient_ListNotes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/api/patients/{jobId}/notes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Read all free-text notes on the account in chronological order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usp_Patient_AddNote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/api/patients/{jobId}/notes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Append a note to the account; notes are immutable once created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usp_Patient_GetAgreement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/api/patients/{jobId}/agreement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Check whether the patient has accepted the service agreement and on what date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usp_Medical_UpdateDiagnosis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/api/patients/{jobId}/medical/diagnosis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ICD-10 diagnosis codes, referring doctor, body part, and procedure code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2.18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usp_Patient_Cancel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/api/patients/{jobId}/cancel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Cancel the account with a required reason code and notes; writes a final status history entry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3 — Insurance Authorization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3.1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usp_Auth_ListByPatient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/api/patients/{jobId}/authorizations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insurance authorizations: auth numbers, dates, payer, status, linked products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3.2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usp_Auth_Create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/api/patients/{jobId}/authorizations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Create a new insurance authorization record with auth number, dates, payer, and notes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3.3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usp_Auth_Update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/api/authorizations/{authId}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an existing authorization — correct dates, extend, or change status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3.4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usp_Auth_AddItem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/api/authorizations/{authId}/items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Link a product line item to an authorization; required for billing to confirm each line is covered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3.5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usp_Auth_RemoveItem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DELETE /api/authorizations/{authId}/items/{id}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Remove a product from an authorization; blocked if the claim has been submitted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4 — Queue &amp; Workflow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4.1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usp_Queue_List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/api/queues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13 workflow queues visible to the current user with current job counts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4.2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usp_Queue_GetJobs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/api/queues/{queueId}/jobs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all patient accounts in a specific queue — paged, with name, status age, and rep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4.3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usp_Queue_TransitionJob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/api/queues/transition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Move a patient account from one queue to another; validates the transition, writes status history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4.4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usp_Queue_GetStatusHistory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/api/patients/{jobId}/status-history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the complete queue-transition history for an account — every move with user and timestamp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4.5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usp_Queue_GetActions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/api/queues/{queueId}/actions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the permitted moves out of a queue — used to render the correct action buttons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4.6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usp_Queue_GetBillingStatus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/api/patients/{jobId}/billing-status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billing status badge: Unbilled / Partially Billed / Fully Billed / Cash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4.7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usp_Queue_GetCounts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/api/queues/counts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count of accounts in each of the 13 queues in one call — powers the sidebar badges and dashboard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5 — Billing &amp; Claims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5.1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usp_Billing_ListEntities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/api/billing/entities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billing entities (insurance companies, payers)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5.2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usp_Billing_Search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/api/billing/search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Search billable records by account, payer, or status — returns line items with charge and collection data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5.3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usp_Billing_GetFeeSchedules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/api/billing/fee-schedules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contracted fee schedule amounts for a HCPCS code and billing entity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5.4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usp_Billing_GetProductValuation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/api/billing/valuations/{productId}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pricing and rental term options (capped rental, rent-to-own, purchase)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5.5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usp_Billing_GetReBillData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/api/patients/{jobId}/rebill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billed line items flagged for re-billing due to denial, partial payment, or correction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6 — Scheduling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usp_Schedule_GetByRange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/api/schedules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appointments filtered by date range, territory, or rep — powers the calendar view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usp_Schedule_Create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/api/schedules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Create a new appointment for a patient — type, date/time, assigned rep, and notes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usp_Schedule_Update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/api/schedules/{scheduleId}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Reschedule an appointment or update its type or notes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usp_Schedule_Delete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DELETE /api/schedules/{scheduleId}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Cancel and remove a scheduled appointment; also removes Exchange calendar sync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usp_Schedule_GetUnscheduled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/api/schedules/unscheduled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Find accounts in the scheduling queue with no upcoming appointment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usp_Schedule_GetTypes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/api/lookups/schedule-types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appointment type dropdown (delivery, follow-up, fitting, re-evaluation, etc.)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usp_Schedule_GetExchangeSync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/api/schedules/{scheduleId}/exchange-sync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the Outlook calendar sync status for an appointment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6.8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usp_Schedule_SetExchangeSync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/api/schedules/{scheduleId}/exchange-sync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Link an appointment to an Outlook calendar event after pushing to Exchange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6.9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usp_Schedule_DeleteExchangeSync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DELETE /api/schedules/{scheduleId}/exchange-sync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Remove the Exchange calendar link when an appointment is cancelled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6.10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usp_Scheduler_Get48HourAlerts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/api/schedules/alerts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deliveries and follow-ups due within 48 hours for the user's territory — same-day alert panel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7 — Patient Experience (PSR)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7.1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usp_PatientExperience_List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/api/patients/{jobId}/experiences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patient contacts on the account — calls, inquiries, complaints — chronologically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7.2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usp_PatientExperience_Create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/api/patients/{jobId}/experiences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Log a patient contact: call attempt, inquiry, complaint, or scheduling contact with outcome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7.3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usp_PatientExperience_Update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/api/patient-experiences/{peId}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status, follow-up date, or notes on a patient contact record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7.4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usp_PatientExperience_GetTypes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/api/lookups/patient-experience-types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contact type dropdown (inquiry, scheduling, complaint, satisfaction, etc.)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7.5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usp_PatientExperience_GetStatuses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/api/lookups/patient-experience-statuses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contact status dropdown (open, resolved, escalated, etc.)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7.6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usp_PatientExperience_GetComplaintTypes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/api/lookups/complaint-types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complaint type dropdown — used when logging a formal patient complaint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7.7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usp_PatientExperience_GetTemplates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/api/lookups/patient-experience-templates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message templates that pre-populate contact notes for common contact types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8 — Collector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8.1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usp_CollectorAction_List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/api/collector-actions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collector actions for an account or by rep — calls made, voicemails, payment arrangements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8.2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usp_CollectorAction_Create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/api/collector-actions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Log a new collection activity: call, voicemail, payment plan, referral to agency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8.3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usp_CollectorAction_Update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/api/collector-actions/{actionId}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a collector action — revise follow-up date or add resolution notes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8.4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usp_CollectorAction_GetReasonCodes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/api/lookups/collector-action-reasons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reason code dropdown (called/no answer, payment plan set, referred to agency, etc.)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8.5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usp_CollectorAction_GetDailyTotals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/api/collector-actions/totals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aggregated collector performance stats by user and date range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9 — Products &amp; Inventory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usp_Product_List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/api/products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Browse the product catalog filtered by category or active status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usp_Product_Create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/api/products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Add a new product to the catalog with pricing and vendor info (admin only)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usp_Product_Update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/api/products/{productId}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product name, part number, pricing, or active status (admin only)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usp_Product_GetBillingCodes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/api/products/{productId}/billing-codes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HCPCS billing code mappings for a product — used in billing validation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usp_Product_GetBodyParts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/api/lookups/body-parts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body part dropdown (Left Knee, Right Ankle, etc.) for medical intake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usp_Product_GetCategories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/api/lookups/product-categories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product category dropdown (AFO, KAFO, TLSO, etc.)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usp_Product_GetManufacturers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/api/lookups/manufacturers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vendor/manufacturer dropdown for product assignment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9.8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usp_Inventory_ListLocations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/api/inventory/locations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warehouse/storage locations by site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9.9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usp_Inventory_ListSites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/api/inventory/sites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inventory sites (warehouses and offices)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9.10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usp_Inventory_Assign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/api/inventory/{equipmentId}/assign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Assign a specific piece of equipment to a patient — records serial number and date for stock-and-bill compliance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10 — Orders &amp; Purchasing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10.1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usp_Order_ListByPatient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/api/patients/{jobId}/orders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orders and purchase orders on the account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10.2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usp_Order_GetDetail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/api/orders/{orderId}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full order detail including all line items with SKU, description, quantity, and price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10.3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usp_Purchasing_GetByPatient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/api/patients/{jobId}/purchasing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sales order number, PO number, and invoice number for the account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11 — Documents /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11.1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usp_Document_ListByPatient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/api/patients/{jobId}/documents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documents attached to the account: type, filename, upload date, uploader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11.2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usp_Document_GetMeta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retrieves blob path for signed URL generation; raw path never returned to client (HIPAA)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11.3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usp_Document_CreateRecord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/api/patients/{jobId}/documents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Attach an uploaded file to the patient account; blob stored in Azure, metadata in database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11.4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usp_Document_GetViewUrl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/api/documents/{documentId}/view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 5-minute signed URL to view a patient document; access logged to HIPAA audit trail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12 — Directory, Users &amp; Reps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usp_Directory_GetList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/api/directory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Browse the staff directory filtered by division or territory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usp_Directory_GetReps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/api/lookups/reps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the sales rep list, optionally filtered by territory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usp_Directory_GetTerritories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/api/lookups/territories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territory lookup — used in scheduling, patient intake, and queue filtering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usp_Directory_GetDivisions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/api/lookups/divisions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division/business-unit lookup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usp_Directory_GetDoctors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/api/doctors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Browse the physician directory filtered by specialty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usp_Directory_GetPractitioners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/api/practitioners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clinical practitioners (PTs, OTs, RNs) for clinical assignment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usp_User_ListAll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/api/admin/users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all user accounts with roles, division, territory (admin only)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12.8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usp_User_GetSecurity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/api/admin/users/{userId}/security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role assignments and territory access for a user (admin only)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12.9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usp_User_GetRoleTypes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/api/admin/roles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all defined role types (Admin, Billing, Clinical, etc.)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13 — Time Records (HR)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usp_TimeRecord_List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/api/time-records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time record submissions by employee, pay period, or approval status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usp_TimeRecord_GetDetail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/api/time-records/{timeRecordId}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 specific time record with all hourly or salaried line items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usp_TimeRecord_Create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/api/time-records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Create a new time record header for a pay period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usp_TimeRecord_Update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/api/time-records/{timeRecordId}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Submit, approve, or reject a time record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13.5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usp_TimeRecord_GetSalariedData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/api/time-records/{id}/salaried-data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daily salaried entries and PTO allocations for a salaried time record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13.6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usp_TimeRecord_GetHourlyData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/api/time-records/{id}/hourly-data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hourly shift entries with start/end times and OT hours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13.7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usp_TimeRecord_GetPTOTypes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/api/lookups/pto-types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PTO type dropdown (Vacation, Sick, Personal, Holiday, Bereavement)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13.8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usp_TimeRecord_GetPaymentCalendar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/api/time-records/payment-calendar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pay period dates for a year — valid week ranges for timecard entry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13.9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usp_TimeRecord_GetHolidayCalendar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/api/time-records/holiday-calendar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company holidays for a year — used in timecard calculations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14 — Lookups (Generic)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14.1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usp_Lookup_GetValues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/api/lookups/{tableName}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dropdown values for any lookup table: cancellation reasons, document types, regions, territories, etc.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14.2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usp_Lookup_Create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/api/admin/lookups/{tableName}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Add a new value to a lookup table (admin only); change is audit-logged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14.3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usp_Lookup_Update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/api/admin/lookups/{tableName}/{id}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a lookup table value (admin only); change is audit-logged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14.4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usp_Lookup_Delete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soft-deletes a lookup value; admin UI action only, not an MCP tool (prevents agents from deleting reference data)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15 — Config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15.1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usp_Config_GetIdp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MSAL configuration for the SPA; agents use client_credentials, not IDP config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15.2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usp_Config_GetAll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/api/config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all system configuration values: session timeout, file size limits, feature flags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15.3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usp_Config_GetCompany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/api/config/company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company name, address, and branding for display in reports and print views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16 — Reporting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16.1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usp_Report_BillingCollections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/api/reports/billing-collections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Billing and collections report: outstanding balances, payer performance, aging buckets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16.2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usp_Report_DepartmentDeliverables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/api/reports/department-deliverables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Department productivity: deliverables completed, time logged, productivity score by division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16.3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usp_Report_PSR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/api/reports/psr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Patient Satisfaction report: contact outcomes, complaint resolution, rep performance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16.4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usp_Report_Variance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/api/reports/variance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Pricing variance: billed amounts vs contracted rates — surfaces underbilling and margin issues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17 — Audit &amp; Activity Logs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17.1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usp_AuditLog_Insert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writes HIPAA audit events; called by API middleware only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17.2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usp_AuditLog_GetList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/api/admin/audit-logs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Search the HIPAA audit log: PHI access, data changes, security events (admin/auditor only)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17.3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usp_ActivityLog_Insert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718096"/>
                <w:sz w:val="16"/>
              </w:rPr>
              <w:t>INT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INTERNAL — records page views, logins, logouts; called by request pipeline only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17.4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usp_ActivityLog_GetList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/api/admin/activity-logs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Search user activity log: login, logout, and page-view events (admin only)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18 — Compliance / Scheduled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18.1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usp_Compliance_GetPendingJobs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/api/admin/compliance/pending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List accounts awaiting compliance review that are overdue — daily compliance sweep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18.2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usp_Compliance_MassMoveJobs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POST /api/admin/compliance/mass-move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Bulk-move accounts past the compliance hold period to the next queue; returns count moved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19 — Yes/No Module (PA/CMN/EDF)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19.1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usp_YesNo_Update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B3521E"/>
                <w:sz w:val="16"/>
              </w:rPr>
              <w:t>WRITE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PUT /api/patients/{jobId}/yesno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Update all three compliance gates at once: PA authorization, CMN receipt, EDF sign-off. PA Denied blocks the account from advancing to Billing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Domain 20 —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Stored Procedure</w:t>
            </w:r>
          </w:p>
        </w:tc>
        <w:tc>
          <w:tcPr>
            <w:tcW w:type="dxa" w:w="7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R/W</w:t>
            </w:r>
          </w:p>
        </w:tc>
        <w:tc>
          <w:tcPr>
            <w:tcW w:type="dxa" w:w="316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</w:t>
            </w:r>
          </w:p>
        </w:tc>
        <w:tc>
          <w:tcPr>
            <w:tcW w:type="dxa" w:w="432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20.1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usp_Dashboard_GetActivity</w:t>
            </w:r>
          </w:p>
        </w:tc>
        <w:tc>
          <w:tcPr>
            <w:tcW w:type="dxa" w:w="7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b/>
                <w:color w:val="276749"/>
                <w:sz w:val="16"/>
              </w:rPr>
              <w:t>READ</w:t>
            </w:r>
          </w:p>
        </w:tc>
        <w:tc>
          <w:tcPr>
            <w:tcW w:type="dxa" w:w="316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006DB6"/>
                <w:sz w:val="16"/>
              </w:rPr>
              <w:t>GET /api/dashboard/activity</w:t>
            </w:r>
          </w:p>
        </w:tc>
        <w:tc>
          <w:tcPr>
            <w:tcW w:type="dxa" w:w="432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20" w:after="20" w:line="276" w:lineRule="auto"/>
            </w:pPr>
            <w:r>
              <w:rPr>
                <w:color w:val="2D3748"/>
                <w:sz w:val="16"/>
              </w:rPr>
              <w:t>Get six headline KPIs: new intakes today, queue transitions, deliveries, documents uploaded, open collector follow-ups, overdue compliance — territory-filtered</w:t>
            </w:r>
          </w:p>
        </w:tc>
      </w:tr>
    </w:tbl>
    <w:p>
      <w:pPr>
        <w:spacing w:before="0" w:after="80" w:line="276" w:lineRule="auto"/>
      </w:pP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06   Security, HIPAA &amp; Governance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OXPLive contains protected health information — patient demographics, insurance details, DME order data, and EDI 835/837 claims. Security controls are designed into every layer of this architecture, not added afterward.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6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734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Service Account Isolation</w:t>
            </w:r>
          </w:p>
        </w:tc>
        <w:tc>
          <w:tcPr>
            <w:tcW w:type="dxa" w:w="734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oxplive_mcp_svc holds only GRANT EXECUTE ON SCHEMA::oxadmin. No table-level SELECT, INSERT, UPDATE, or DELETE. No dynamic SQL is possible.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SP-Only Access Pattern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Every AI request resolves to a named, version-controlled stored procedure. Inline SQL from AI-generated queries is architecturally impossible.</w:t>
            </w:r>
          </w:p>
        </w:tc>
      </w:tr>
      <w:tr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Audit Logging</w:t>
            </w:r>
          </w:p>
        </w:tc>
        <w:tc>
          <w:tcPr>
            <w:tcW w:type="dxa" w:w="734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Domain 17 exposes audit-log procedures. HIPAA-sensitive SPs (Document_GetViewUrl, all patient-record writers) trigger server-side audit entries recording user, action, timestamp, and affected record ID.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PHI Field Masking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SSN and other PHI identifiers are masked at the stored-procedure level before they reach the MCP response payload. Patient-data fields require explicit role clearance.</w:t>
            </w:r>
          </w:p>
        </w:tc>
      </w:tr>
      <w:tr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Document URLs</w:t>
            </w:r>
          </w:p>
        </w:tc>
        <w:tc>
          <w:tcPr>
            <w:tcW w:type="dxa" w:w="734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File access (usp_Document_GetViewUrl) returns HIPAA-compliant signed URLs with short-lived expiry. No raw file paths or permanent links are returned.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Transport Security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Streamable HTTP runs over HTTPS in production. Optional MCP_API_KEY header provides HTTP-level bearer auth. Network access restricted by firewall to authorised IP ranges.</w:t>
            </w:r>
          </w:p>
        </w:tc>
      </w:tr>
      <w:tr>
        <w:tc>
          <w:tcPr>
            <w:tcW w:type="dxa" w:w="216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Session Isolation</w:t>
            </w:r>
          </w:p>
        </w:tc>
        <w:tc>
          <w:tcPr>
            <w:tcW w:type="dxa" w:w="734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Each Claude session receives a unique mcp-session-id. Sessions are server-memory-scoped; one session cannot access another session's state or results.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b/>
                <w:color w:val="2D3748"/>
                <w:sz w:val="17"/>
              </w:rPr>
              <w:t>Compliance Domains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Domain 19 (Yes/No Module) enforces the three compliance gates — PA Status, CMN receipt, EDF sign-off — that must be satisfied before a job can progress. Domain 18 handles mass-move and scheduled compliance batch operations.</w:t>
            </w:r>
          </w:p>
        </w:tc>
      </w:tr>
    </w:tbl>
    <w:p>
      <w:pPr>
        <w:jc w:val="left"/>
        <w:spacing w:before="40" w:after="60" w:line="276" w:lineRule="auto"/>
      </w:pPr>
      <w:r>
        <w:rPr>
          <w:color w:val="2D3748"/>
          <w:sz w:val="19"/>
        </w:rPr>
        <w:t>This design supports OrthoKinetix's HIPAA compliance posture. It does not replace the organisation's existing policies, Business Associate Agreements, or staff training, which remain in place.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07   What Gets Built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MCP Server — Node.js Application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OXPLive MCP server is a Node.js / TypeScript application built on the official @modelcontextprotocol/sdk package. It uses the mssql library for SQL Server connectivity and Express for the Streamable HTTP transport.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DB Client — </w:t>
      </w:r>
      <w:r>
        <w:rPr>
          <w:color w:val="2D3748"/>
          <w:sz w:val="19"/>
        </w:rPr>
        <w:t>Singleton mssql connection pool; executeSP(), querySP(), and querySPSingle() helpers that auto-prefix oxadmin. to every procedure name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20 Domain Tool Files — </w:t>
      </w:r>
      <w:r>
        <w:rPr>
          <w:color w:val="2D3748"/>
          <w:sz w:val="19"/>
        </w:rPr>
        <w:t>One TypeScript file per domain, each exporting its MCP tool definitions and request handlers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Server Core — </w:t>
      </w:r>
      <w:r>
        <w:rPr>
          <w:color w:val="2D3748"/>
          <w:sz w:val="19"/>
        </w:rPr>
        <w:t>createOxpliveMcpServer() registers all 94 tools and dispatches calls to the matching domain handler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Streamable HTTP Transport — </w:t>
      </w:r>
      <w:r>
        <w:rPr>
          <w:color w:val="2D3748"/>
          <w:sz w:val="19"/>
        </w:rPr>
        <w:t>Express app with session map; supports multiple concurrent Claude sessions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SQL Server Service Account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A dedicated, least-privilege SQL Server login is created specifically for the MCP server. No further permissions are required. The service account cannot read, write, or alter any table, view, or function directly.</w:t>
      </w:r>
    </w:p>
    <w:p>
      <w:pPr>
        <w:ind w:left="283"/>
        <w:jc w:val="left"/>
        <w:spacing w:before="40" w:after="60" w:line="276" w:lineRule="auto"/>
      </w:pPr>
      <w:r>
        <w:rPr>
          <w:color w:val="2D3748"/>
          <w:sz w:val="19"/>
        </w:rPr>
        <w:t>Provisioning script:  CREATE LOGIN oxplive_mcp_svc WITH PASSWORD = '&lt;vault-managed&gt;';  CREATE USER oxplive_mcp_svc FOR LOGIN oxplive_mcp_svc;  GRANT EXECUTE ON SCHEMA::oxadmin TO oxplive_mcp_svc;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Configuration &amp; Deployment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All connection strings and secrets are managed via environment variables (never committed to source control). The server ships with a .env.example file and a config/claude-code.mcp.json snippet for immediate Claude Code integration.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What Is NOT in Scope</w:t>
      </w:r>
    </w:p>
    <w:p>
      <w:pPr>
        <w:pStyle w:val="ListBullet"/>
        <w:spacing w:before="20" w:after="20" w:line="276" w:lineRule="auto"/>
      </w:pPr>
      <w:r>
        <w:rPr>
          <w:color w:val="2D3748"/>
          <w:sz w:val="19"/>
        </w:rPr>
        <w:t>The .NET 8 REST API layer (Phase F — planned, not yet approved)</w:t>
      </w:r>
    </w:p>
    <w:p>
      <w:pPr>
        <w:pStyle w:val="ListBullet"/>
        <w:spacing w:before="20" w:after="20" w:line="276" w:lineRule="auto"/>
      </w:pPr>
      <w:r>
        <w:rPr>
          <w:color w:val="2D3748"/>
          <w:sz w:val="19"/>
        </w:rPr>
        <w:t>An admin portal or management dashboard</w:t>
      </w:r>
    </w:p>
    <w:p>
      <w:pPr>
        <w:pStyle w:val="ListBullet"/>
        <w:spacing w:before="20" w:after="20" w:line="276" w:lineRule="auto"/>
      </w:pPr>
      <w:r>
        <w:rPr>
          <w:color w:val="2D3748"/>
          <w:sz w:val="19"/>
        </w:rPr>
        <w:t>Changes to the existing OXPLive ColdFusion application</w:t>
      </w:r>
    </w:p>
    <w:p>
      <w:pPr>
        <w:pStyle w:val="ListBullet"/>
        <w:spacing w:before="20" w:after="20" w:line="276" w:lineRule="auto"/>
      </w:pPr>
      <w:r>
        <w:rPr>
          <w:color w:val="2D3748"/>
          <w:sz w:val="19"/>
        </w:rPr>
        <w:t>Changes to the OrthoXpressDB schema or existing stored procedures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08   Delivery Plan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MCP server delivery is structured in three phases. Each phase ends with a clear, demonstrable result that OrthoKinetix can test before the next phase begins.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0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2016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Deliverable</w:t>
            </w:r>
          </w:p>
        </w:tc>
        <w:tc>
          <w:tcPr>
            <w:tcW w:type="dxa" w:w="460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type="dxa" w:w="2304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Exit Criteria</w:t>
            </w:r>
          </w:p>
        </w:tc>
      </w:tr>
      <w:tr>
        <w:tc>
          <w:tcPr>
            <w:tcW w:type="dxa" w:w="100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Phase 1</w:t>
            </w:r>
          </w:p>
        </w:tc>
        <w:tc>
          <w:tcPr>
            <w:tcW w:type="dxa" w:w="201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Stored Procedure Foundation</w:t>
            </w:r>
          </w:p>
        </w:tc>
        <w:tc>
          <w:tcPr>
            <w:tcW w:type="dxa" w:w="460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All 116 stored procedures authored, reviewed, and deployed to the OXPLive test database. Includes read-only procedures for all 20 domains plus write procedures for core entities.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All SPs pass unit tests against test DB; naming convention compliant; HIPAA-sensitive fields verified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Phase 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MCP Server — Build &amp; Test</w:t>
            </w:r>
          </w:p>
        </w:tc>
        <w:tc>
          <w:tcPr>
            <w:tcW w:type="dxa" w:w="460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Node.js MCP server with all 94 tools, DB-Direct wiring, Streamable HTTP transport, service account provisioning, and Claude Code integration.</w:t>
            </w:r>
          </w:p>
        </w:tc>
        <w:tc>
          <w:tcPr>
            <w:tcW w:type="dxa" w:w="230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Claude can invoke all 94 tools against test database; audit log confirms all calls recorded</w:t>
            </w:r>
          </w:p>
        </w:tc>
      </w:tr>
      <w:tr>
        <w:tc>
          <w:tcPr>
            <w:tcW w:type="dxa" w:w="100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Phase 3</w:t>
            </w:r>
          </w:p>
        </w:tc>
        <w:tc>
          <w:tcPr>
            <w:tcW w:type="dxa" w:w="201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Production Deployment</w:t>
            </w:r>
          </w:p>
        </w:tc>
        <w:tc>
          <w:tcPr>
            <w:tcW w:type="dxa" w:w="460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Production environment setup, credential vault integration, firewall rules, HTTPS, staff training session, and final sign-off from OrthoKinetix IT.</w:t>
            </w:r>
          </w:p>
        </w:tc>
        <w:tc>
          <w:tcPr>
            <w:tcW w:type="dxa" w:w="2304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Server running in production; OrthoKinetix team can connect Claude and execute representative queries</w:t>
            </w:r>
          </w:p>
        </w:tc>
      </w:tr>
    </w:tbl>
    <w:p>
      <w:pPr>
        <w:jc w:val="left"/>
        <w:spacing w:before="40" w:after="60" w:line="276" w:lineRule="auto"/>
      </w:pPr>
      <w:r>
        <w:rPr>
          <w:color w:val="2D3748"/>
          <w:sz w:val="19"/>
        </w:rPr>
        <w:t>Detailed timeline and effort estimates are confirmed during the kick-off session and provided in a companion Statement of Work upon approval of this document.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09   What We Need From You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Approval of this document authorises Technijian to begin Phase 1. A short kick-off session is scheduled immediately afterward to confirm the items below. None of these decisions block approval — they shape the detailed plan.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Domain priority order. </w:t>
      </w:r>
      <w:r>
        <w:rPr>
          <w:color w:val="2D3748"/>
          <w:sz w:val="19"/>
        </w:rPr>
        <w:t>Which of the 20 domains should be built first? Suggested default: Domains 1–5 — Auth, Patient, Insurance Auth, Queue, Billing.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Test database access. </w:t>
      </w:r>
      <w:r>
        <w:rPr>
          <w:color w:val="2D3748"/>
          <w:sz w:val="19"/>
        </w:rPr>
        <w:t>Confirmation that Technijian may continue working against the existing test/UAT environment for Phase 1 and Phase 2.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Service account provisioning. </w:t>
      </w:r>
      <w:r>
        <w:rPr>
          <w:color w:val="2D3748"/>
          <w:sz w:val="19"/>
        </w:rPr>
        <w:t>Authorisation to create the oxplive_mcp_svc login and grant it EXECUTE on the oxadmin schema.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Credential vault. </w:t>
      </w:r>
      <w:r>
        <w:rPr>
          <w:color w:val="2D3748"/>
          <w:sz w:val="19"/>
        </w:rPr>
        <w:t>Preferred secret-management approach (Azure Key Vault, Windows Credential Manager, or Technijian-managed vault) for the service account password and API key.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Hosting location. </w:t>
      </w:r>
      <w:r>
        <w:rPr>
          <w:color w:val="2D3748"/>
          <w:sz w:val="19"/>
        </w:rPr>
        <w:t>Where the MCP server will run — on-premises IIS, Windows service, Docker container, or Technijian-hosted.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Internal users. </w:t>
      </w:r>
      <w:r>
        <w:rPr>
          <w:color w:val="2D3748"/>
          <w:sz w:val="19"/>
        </w:rPr>
        <w:t>Who at OrthoKinetix will use Claude with the MCP tools, and at what initial permission level (read-only vs. read/write access to write-capable domains).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10   Approval &amp; Sign-Off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By signing below, OrthoKinetix authorises Technijian to proceed with the OXPLive MCP Server project as described in this document, beginning with Phase 1 (Stored Procedure Foundation). This approval covers the technical approach, domain scope, and phased delivery plan.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Specific timeline, effort hours, and fees are confirmed in a companion Statement of Work, which will be issued within five (5) business days of receiving this signed approval.</w:t>
      </w:r>
    </w:p>
    <w:p>
      <w:pPr>
        <w:spacing w:before="0" w:after="120" w:line="276" w:lineRule="auto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08"/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</w:tcBorders>
          </w:tcPr>
          <w:p>
            <w:pPr>
              <w:spacing w:before="60" w:after="40" w:line="276" w:lineRule="auto"/>
            </w:pPr>
            <w:r>
              <w:rPr>
                <w:b/>
                <w:color w:val="1A2B3C"/>
                <w:sz w:val="22"/>
              </w:rPr>
              <w:t>OrthoKinetix</w:t>
            </w:r>
          </w:p>
          <w:p>
            <w:pPr>
              <w:spacing w:before="0" w:after="120" w:line="276" w:lineRule="auto"/>
            </w:pPr>
            <w:r>
              <w:rPr>
                <w:color w:val="718096"/>
                <w:sz w:val="17"/>
              </w:rPr>
              <w:t>Authorised on behalf of OrthoKinetix / OrthoXpress</w:t>
            </w:r>
          </w:p>
          <w:p>
            <w:pPr>
              <w:spacing w:before="0" w:after="0" w:line="276" w:lineRule="auto"/>
            </w:pPr>
          </w:p>
          <w:p>
            <w:pPr>
              <w:pBdr>
                <w:top w:val="single" w:sz="6" w:space="1" w:color="2D3748"/>
              </w:pBdr>
              <w:spacing w:before="40" w:after="60" w:line="276" w:lineRule="auto"/>
            </w:pPr>
            <w:r>
              <w:rPr>
                <w:color w:val="718096"/>
                <w:sz w:val="17"/>
              </w:rPr>
              <w:t>_________________________</w:t>
            </w:r>
            <w:r>
              <w:tab/>
            </w:r>
            <w:r>
              <w:rPr>
                <w:color w:val="718096"/>
                <w:sz w:val="17"/>
              </w:rPr>
              <w:t>_____</w:t>
            </w:r>
          </w:p>
          <w:p>
            <w:pPr>
              <w:spacing w:before="120" w:after="0" w:line="276" w:lineRule="auto"/>
            </w:pPr>
          </w:p>
          <w:p>
            <w:pPr>
              <w:pBdr>
                <w:top w:val="single" w:sz="6" w:space="1" w:color="2D3748"/>
              </w:pBdr>
              <w:spacing w:before="40" w:after="60" w:line="276" w:lineRule="auto"/>
            </w:pPr>
            <w:r>
              <w:rPr>
                <w:color w:val="718096"/>
                <w:sz w:val="17"/>
              </w:rPr>
              <w:t>Name (print)</w:t>
            </w:r>
            <w:r>
              <w:tab/>
            </w:r>
            <w:r>
              <w:rPr>
                <w:color w:val="718096"/>
                <w:sz w:val="17"/>
              </w:rPr>
              <w:t>Title</w:t>
            </w:r>
          </w:p>
        </w:tc>
        <w:tc>
          <w:tcPr>
            <w:tcW w:type="dxa" w:w="4608"/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</w:tcBorders>
          </w:tcPr>
          <w:p>
            <w:pPr>
              <w:spacing w:before="60" w:after="40" w:line="276" w:lineRule="auto"/>
            </w:pPr>
            <w:r>
              <w:rPr>
                <w:b/>
                <w:color w:val="1A2B3C"/>
                <w:sz w:val="22"/>
              </w:rPr>
              <w:t>Technijian</w:t>
            </w:r>
          </w:p>
          <w:p>
            <w:pPr>
              <w:spacing w:before="0" w:after="120" w:line="276" w:lineRule="auto"/>
            </w:pPr>
            <w:r>
              <w:rPr>
                <w:color w:val="718096"/>
                <w:sz w:val="17"/>
              </w:rPr>
              <w:t>Prepared and submitted by Technijian Inc.</w:t>
            </w:r>
          </w:p>
          <w:p>
            <w:pPr>
              <w:spacing w:before="0" w:after="0" w:line="276" w:lineRule="auto"/>
            </w:pPr>
          </w:p>
          <w:p>
            <w:pPr>
              <w:pBdr>
                <w:top w:val="single" w:sz="6" w:space="1" w:color="2D3748"/>
              </w:pBdr>
              <w:spacing w:before="40" w:after="60" w:line="276" w:lineRule="auto"/>
            </w:pPr>
            <w:r>
              <w:rPr>
                <w:color w:val="718096"/>
                <w:sz w:val="17"/>
              </w:rPr>
              <w:t>Rohit Jain, Technijian</w:t>
            </w:r>
            <w:r>
              <w:tab/>
            </w:r>
            <w:r>
              <w:rPr>
                <w:color w:val="718096"/>
                <w:sz w:val="17"/>
              </w:rPr>
              <w:t>June 2026</w:t>
            </w:r>
          </w:p>
          <w:p>
            <w:pPr>
              <w:spacing w:before="120" w:after="0" w:line="276" w:lineRule="auto"/>
            </w:pPr>
          </w:p>
          <w:p>
            <w:pPr>
              <w:pBdr>
                <w:top w:val="single" w:sz="6" w:space="1" w:color="2D3748"/>
              </w:pBdr>
              <w:spacing w:before="40" w:after="60" w:line="276" w:lineRule="auto"/>
            </w:pPr>
            <w:r>
              <w:rPr>
                <w:color w:val="718096"/>
                <w:sz w:val="17"/>
              </w:rPr>
            </w:r>
          </w:p>
        </w:tc>
      </w:tr>
    </w:tbl>
    <w:p>
      <w:pPr>
        <w:spacing w:before="0" w:after="120" w:line="276" w:lineRule="auto"/>
      </w:pP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Questions? Contact Technijian at 949.379.8499 (main) or rjain@technijian.com. The full engineering specification, STP-API-MCP Coverage Matrix, and Statement of Work are available on request.</w:t>
      </w:r>
    </w:p>
    <w:p>
      <w:r>
        <w:br w:type="page"/>
      </w:r>
    </w:p>
    <w:p>
      <w:pPr>
        <w:spacing w:before="240" w:after="80" w:line="276" w:lineRule="auto"/>
        <w:pBdr>
          <w:bottom w:val="single" w:sz="12" w:space="2" w:color="006DB6"/>
        </w:pBdr>
      </w:pPr>
      <w:r>
        <w:rPr>
          <w:b/>
          <w:color w:val="006DB6"/>
          <w:sz w:val="28"/>
        </w:rPr>
        <w:t>A   Appendix — Full Domain Reference</w:t>
      </w:r>
    </w:p>
    <w:p>
      <w:pPr>
        <w:spacing w:before="160" w:after="60" w:line="276" w:lineRule="auto"/>
      </w:pPr>
      <w:r>
        <w:rPr>
          <w:b/>
          <w:color w:val="1A2B3C"/>
          <w:sz w:val="22"/>
        </w:rPr>
        <w:t>A.1   Domain Summary (authoritative counts)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60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Domain</w:t>
            </w:r>
          </w:p>
        </w:tc>
        <w:tc>
          <w:tcPr>
            <w:tcW w:type="dxa" w:w="115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STPs</w:t>
            </w:r>
          </w:p>
        </w:tc>
        <w:tc>
          <w:tcPr>
            <w:tcW w:type="dxa" w:w="1440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API Endpoints</w:t>
            </w:r>
          </w:p>
        </w:tc>
        <w:tc>
          <w:tcPr>
            <w:tcW w:type="dxa" w:w="1296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MCP Tools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Auth &amp; Session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Patient / Account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18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16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16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Insurance Authorization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Queue &amp; Workflow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Billing &amp; Claims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Scheduling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Patient Experience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8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Collector Actions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Products &amp; Inventory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Orders &amp; Purchasing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11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Documents / Files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12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Directory, Users &amp; Reps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8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13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Time Records (HR)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14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Lookups (Generic)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15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Config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16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Reporting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17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Audit &amp; Activity Logs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18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Compliance / Scheduled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19</w:t>
            </w:r>
          </w:p>
        </w:tc>
        <w:tc>
          <w:tcPr>
            <w:tcW w:type="dxa" w:w="360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Yes/No Module (PA/CMN/EDF)</w:t>
            </w:r>
          </w:p>
        </w:tc>
        <w:tc>
          <w:tcPr>
            <w:tcW w:type="dxa" w:w="115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1440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1296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20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Dashboard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12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</w:tr>
      <w:tr>
        <w:tc>
          <w:tcPr>
            <w:tcW w:type="dxa" w:w="432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600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type="dxa" w:w="1152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116</w:t>
            </w:r>
          </w:p>
        </w:tc>
        <w:tc>
          <w:tcPr>
            <w:tcW w:type="dxa" w:w="1440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110</w:t>
            </w:r>
          </w:p>
        </w:tc>
        <w:tc>
          <w:tcPr>
            <w:tcW w:type="dxa" w:w="1296"/>
            <w:shd w:val="clear" w:color="auto" w:fill="1A2B3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94</w:t>
            </w:r>
          </w:p>
        </w:tc>
      </w:tr>
    </w:tbl>
    <w:p>
      <w:pPr>
        <w:spacing w:before="0" w:after="12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A.2   The 13 Workflow Queues</w:t>
      </w:r>
    </w:p>
    <w:p>
      <w:pPr>
        <w:jc w:val="left"/>
        <w:spacing w:before="40" w:after="60" w:line="276" w:lineRule="auto"/>
      </w:pPr>
      <w:r>
        <w:rPr>
          <w:color w:val="2D3748"/>
          <w:sz w:val="19"/>
        </w:rPr>
        <w:t>The OXPLive platform routes DME orders through 13 named queues. Domain 4 (Queue &amp; Workflow) provides the stored procedures that govern job transitions between queues.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3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728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Queue</w:t>
            </w:r>
          </w:p>
        </w:tc>
        <w:tc>
          <w:tcPr>
            <w:tcW w:type="dxa" w:w="6192"/>
            <w:shd w:val="clear" w:color="auto" w:fill="006DB6"/>
            <w:tcBorders>
              <w:top w:val="single" w:sz="4" w:space="0" w:color="006DB6"/>
              <w:left w:val="single" w:sz="4" w:space="0" w:color="006DB6"/>
              <w:bottom w:val="single" w:sz="4" w:space="0" w:color="006DB6"/>
              <w:right w:val="single" w:sz="4" w:space="0" w:color="006DB6"/>
            </w:tcBorders>
          </w:tcPr>
          <w:p>
            <w:pPr>
              <w:jc w:val="left"/>
              <w:spacing w:before="40" w:after="40" w:line="276" w:lineRule="auto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</w:t>
            </w:r>
          </w:p>
        </w:tc>
        <w:tc>
          <w:tcPr>
            <w:tcW w:type="dxa" w:w="17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Intake</w:t>
            </w:r>
          </w:p>
        </w:tc>
        <w:tc>
          <w:tcPr>
            <w:tcW w:type="dxa" w:w="61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New DME orders received; initial eligibility check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2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Benefits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Insurance benefit verification in progress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3</w:t>
            </w:r>
          </w:p>
        </w:tc>
        <w:tc>
          <w:tcPr>
            <w:tcW w:type="dxa" w:w="17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Auth</w:t>
            </w:r>
          </w:p>
        </w:tc>
        <w:tc>
          <w:tcPr>
            <w:tcW w:type="dxa" w:w="61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Prior authorisation requested or under review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4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Pending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Awaiting patient or clinical information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5</w:t>
            </w:r>
          </w:p>
        </w:tc>
        <w:tc>
          <w:tcPr>
            <w:tcW w:type="dxa" w:w="17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Shipping</w:t>
            </w:r>
          </w:p>
        </w:tc>
        <w:tc>
          <w:tcPr>
            <w:tcW w:type="dxa" w:w="61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Order approved; equipment dispatch in progress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6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Billing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Delivered; claim submitted to payer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7</w:t>
            </w:r>
          </w:p>
        </w:tc>
        <w:tc>
          <w:tcPr>
            <w:tcW w:type="dxa" w:w="17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Re-Bill</w:t>
            </w:r>
          </w:p>
        </w:tc>
        <w:tc>
          <w:tcPr>
            <w:tcW w:type="dxa" w:w="61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Claim denied or adjusted; re-submission in progress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8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EDF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Equipment Delivery Form outstanding — compliance hold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9</w:t>
            </w:r>
          </w:p>
        </w:tc>
        <w:tc>
          <w:tcPr>
            <w:tcW w:type="dxa" w:w="17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Collections</w:t>
            </w:r>
          </w:p>
        </w:tc>
        <w:tc>
          <w:tcPr>
            <w:tcW w:type="dxa" w:w="61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Overdue balance; active collector follow-up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10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Yes/No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PA Status / CMN / EDF compliance gates pending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11</w:t>
            </w:r>
          </w:p>
        </w:tc>
        <w:tc>
          <w:tcPr>
            <w:tcW w:type="dxa" w:w="17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Inactive</w:t>
            </w:r>
          </w:p>
        </w:tc>
        <w:tc>
          <w:tcPr>
            <w:tcW w:type="dxa" w:w="61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Order on hold; no active work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12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Cancelled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Order cancelled; record retained for audit</w:t>
            </w:r>
          </w:p>
        </w:tc>
      </w:tr>
      <w:tr>
        <w:tc>
          <w:tcPr>
            <w:tcW w:type="dxa" w:w="43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13</w:t>
            </w:r>
          </w:p>
        </w:tc>
        <w:tc>
          <w:tcPr>
            <w:tcW w:type="dxa" w:w="1728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Collector Actions</w:t>
            </w:r>
          </w:p>
        </w:tc>
        <w:tc>
          <w:tcPr>
            <w:tcW w:type="dxa" w:w="6192"/>
            <w:shd w:val="clear" w:color="auto" w:fill="F5F7FA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before="30" w:after="30" w:line="276" w:lineRule="auto"/>
            </w:pPr>
            <w:r>
              <w:rPr>
                <w:color w:val="2D3748"/>
                <w:sz w:val="17"/>
              </w:rPr>
              <w:t>Collector daily-action tracking and totals</w:t>
            </w:r>
          </w:p>
        </w:tc>
      </w:tr>
    </w:tbl>
    <w:p>
      <w:pPr>
        <w:spacing w:before="0" w:after="120" w:line="276" w:lineRule="auto"/>
      </w:pPr>
    </w:p>
    <w:p>
      <w:pPr>
        <w:spacing w:before="160" w:after="60" w:line="276" w:lineRule="auto"/>
      </w:pPr>
      <w:r>
        <w:rPr>
          <w:b/>
          <w:color w:val="1A2B3C"/>
          <w:sz w:val="22"/>
        </w:rPr>
        <w:t>A.3   Companion Documents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STP-API-MCP Coverage Matrix — </w:t>
      </w:r>
      <w:r>
        <w:rPr>
          <w:color w:val="2D3748"/>
          <w:sz w:val="19"/>
        </w:rPr>
        <w:t>All 116 stored procedures with full parameter lists, return schemas, API endpoint mappings, and MCP tool definitions. Provided as a separate A3-landscape PDF deliverable.</w:t>
      </w:r>
    </w:p>
    <w:p>
      <w:pPr>
        <w:pStyle w:val="ListBullet"/>
        <w:spacing w:before="20" w:after="20" w:line="276" w:lineRule="auto"/>
      </w:pPr>
      <w:r>
        <w:rPr>
          <w:b/>
          <w:color w:val="2D3748"/>
          <w:sz w:val="19"/>
        </w:rPr>
        <w:t xml:space="preserve">Statement of Work — </w:t>
      </w:r>
      <w:r>
        <w:rPr>
          <w:color w:val="2D3748"/>
          <w:sz w:val="19"/>
        </w:rPr>
        <w:t>Issued within 5 business days of approval. Covers phased timeline, effort hours, and fees.</w:t>
      </w:r>
    </w:p>
    <w:sectPr w:rsidR="00FC693F" w:rsidRPr="0006063C" w:rsidSect="00034616">
      <w:pgSz w:w="11906" w:h="16838"/>
      <w:pgMar w:top="1134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