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rPr>
          <w:trHeight w:val="130" w:hRule="exact"/>
        </w:trP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</w:tr>
    </w:tbl>
    <w:p>
      <w:pPr>
        <w:keepNext/>
        <w:spacing w:after="0" w:before="220"/>
      </w:pPr>
      <w:r>
        <w:t xml:space="preserve"/>
      </w:r>
    </w:p>
    <w:p>
      <w:pPr>
        <w:jc w:val="center"/>
      </w:pPr>
      <w:r>
        <w:drawing>
          <wp:inline distT="0" distB="0" distL="0" distR="0">
            <wp:extent cx="2381250" cy="495300"/>
            <wp:effectExtent t="0" r="0" b="0" l="0"/>
            <wp:docPr id="1" name="Technijian Logo" descr="Technijian Logo" title="Technijia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spacing w:after="0" w:before="200"/>
      </w:pPr>
      <w:r>
        <w:t xml:space="preserve"/>
      </w:r>
    </w:p>
    <w:p>
      <w:pPr>
        <w:spacing w:after="90" w:before="0"/>
        <w:jc w:val="center"/>
      </w:pPr>
      <w:r>
        <w:rPr>
          <w:rFonts w:ascii="Open Sans" w:cs="Open Sans" w:eastAsia="Open Sans" w:hAnsi="Open Sans"/>
          <w:b/>
          <w:bCs/>
          <w:i w:val="false"/>
          <w:iCs w:val="false"/>
          <w:color w:val="F67D4B"/>
          <w:sz w:val="22"/>
          <w:szCs w:val="22"/>
        </w:rPr>
        <w:t xml:space="preserve">EXECUTIVE SUMMARY</w:t>
      </w:r>
    </w:p>
    <w:p>
      <w:pPr>
        <w:spacing w:after="80" w:before="0"/>
        <w:jc w:val="center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42"/>
          <w:szCs w:val="42"/>
        </w:rPr>
        <w:t xml:space="preserve">Alexandria House</w:t>
      </w:r>
    </w:p>
    <w:p>
      <w:pPr>
        <w:spacing w:after="60"/>
        <w:jc w:val="center"/>
      </w:pPr>
      <w:r>
        <w:rPr>
          <w:rFonts w:ascii="Open Sans" w:cs="Open Sans" w:eastAsia="Open Sans" w:hAnsi="Open Sans"/>
          <w:i/>
          <w:iCs/>
          <w:color w:val="59595B"/>
          <w:sz w:val="21"/>
          <w:szCs w:val="21"/>
        </w:rPr>
        <w:t xml:space="preserve">AI Growth Blueprint — raise more, win more grants, reach more families, recover staff time</w:t>
      </w:r>
    </w:p>
    <w:p>
      <w:pPr>
        <w:spacing w:after="170"/>
        <w:jc w:val="center"/>
      </w:pPr>
      <w:r>
        <w:rPr>
          <w:rFonts w:ascii="Open Sans" w:cs="Open Sans" w:eastAsia="Open Sans" w:hAnsi="Open Sans"/>
          <w:color w:val="59595B"/>
          <w:sz w:val="17"/>
          <w:szCs w:val="17"/>
        </w:rPr>
        <w:t xml:space="preserve">Prepared for Alexandria House  ·  June 16, 2026  ·  Confidential</w:t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40"/>
                <w:szCs w:val="40"/>
              </w:rPr>
              <w:t xml:space="preserve">1996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Founded · Sister Judy Vaughan, CSJ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40"/>
                <w:szCs w:val="40"/>
              </w:rPr>
              <w:t xml:space="preserve">315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Children served since 1996 (org-reported)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40"/>
                <w:szCs w:val="40"/>
              </w:rPr>
              <w:t xml:space="preserve">~83%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Revenue from contributions (FY2024)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80"/>
              <w:left w:type="dxa" w:w="80"/>
              <w:bottom w:type="dxa" w:w="180"/>
              <w:right w:type="dxa" w:w="80"/>
            </w:tcMar>
            <w:vAlign w:val="center"/>
          </w:tcPr>
          <w:p>
            <w:pPr>
              <w:spacing w:after="30"/>
              <w:jc w:val="center"/>
            </w:pPr>
            <w:r>
              <w:rPr>
                <w:rFonts w:ascii="Open Sans" w:cs="Open Sans" w:eastAsia="Open Sans" w:hAnsi="Open Sans"/>
                <w:b/>
                <w:bCs/>
                <w:color w:val="28A745"/>
                <w:sz w:val="40"/>
                <w:szCs w:val="40"/>
              </w:rPr>
              <w:t xml:space="preserve">&gt;92%</w:t>
            </w:r>
          </w:p>
          <w:p>
            <w:pPr>
              <w:jc w:val="center"/>
            </w:pPr>
            <w:r>
              <w:rPr>
                <w:rFonts w:ascii="Open Sans" w:cs="Open Sans" w:eastAsia="Open Sans" w:hAnsi="Open Sans"/>
                <w:color w:val="59595B"/>
                <w:sz w:val="15"/>
                <w:szCs w:val="15"/>
              </w:rPr>
              <w:t xml:space="preserve">Families retained in housing (org-reported)</w:t>
            </w:r>
          </w:p>
        </w:tc>
      </w:tr>
    </w:tbl>
    <w:p>
      <w:pPr>
        <w:keepNext/>
        <w:spacing w:after="0" w:before="15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67D4B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50"/>
              <w:left w:type="dxa" w:w="230"/>
              <w:bottom w:type="dxa" w:w="150"/>
              <w:right w:type="dxa" w:w="190"/>
            </w:tcMar>
          </w:tcPr>
          <w:p>
            <w:pPr>
              <w:keepNext/>
              <w:keepLines/>
              <w:spacing w:after="70" w:before="80"/>
            </w:pPr>
            <w:r>
              <w:rPr>
                <w:rFonts w:ascii="Open Sans" w:cs="Open Sans" w:eastAsia="Open Sans" w:hAnsi="Open Sans"/>
                <w:b/>
                <w:bCs/>
                <w:color w:val="F67D4B"/>
                <w:sz w:val="22"/>
                <w:szCs w:val="22"/>
              </w:rPr>
              <w:t xml:space="preserve">First — this is not about replacing your network team</w:t>
            </w:r>
          </w:p>
          <w:p>
            <w:pPr>
              <w:keepNext w:val="false"/>
              <w:keepLines/>
              <w:spacing w:after="50" w:before="40" w:line="296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You told us you already have your network team in place. Keep them. This is not a managed-IT proposal. It is about using AI to raise more money, win more grants, reach families in Spanish as well as English, and return staff time to the mission — work your IT team does not do, and where a small, donation-funded organization gains the most.</w:t>
            </w:r>
          </w:p>
        </w:tc>
      </w:tr>
    </w:tbl>
    <w:p>
      <w:pPr>
        <w:spacing w:after="120" w:before="12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Since 1996, Alexandria House has been a transitional residence and house of hospitality for women and children moving out of homelessness in central Los Angeles, surrounding families with a "Circle of Support" across housing, economic opportunity, food, child care, wellness, and lifelong alumni support. This summary shows where AI creates measurable value — and states only verified facts, attributing what the organization reports about itself and deferring company-specific numbers to discovery.</w:t>
      </w:r>
    </w:p>
    <w:p>
      <w:pPr>
        <w:spacing w:after="60" w:before="0" w:line="318"/>
        <w:jc w:val="both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Grow support.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AI helps research and draft grants, find and re-engage donors, and personalize bilingual appeals — so staff spend scarce hours on the relationships and arguments that win gifts.</w:t>
      </w: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  Reach and serve better.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A Spanish-language website your families can actually read, automated impact and funder reporting, and a volunteer chatbot for routine questions. The rule never changes: AI drafts and researches; a person verifies every claim and owns every relationship.</w:t>
      </w:r>
    </w:p>
    <w:p>
      <w:pPr>
        <w:pStyle w:val="Heading2"/>
        <w:keepNext/>
        <w:keepLines/>
        <w:spacing w:after="110" w:before="26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What we verified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A trusted, established mission: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founded 1996 by Sister Judy Vaughan, CSJ; 501(c)(3) (EIN 95-4809755); led by ED Marissa Espinoza since July 2022; permanent affordable housing across a 16-unit and a 39-unit building.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Donation-dependent and under pressure: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about 83% of FY2024 revenue was contributions and grants, and the organization spent more than it took in for the year while scaling the 39-unit building — as HUD suspended federal homelessness funds through the regional agency in June 2026.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Capable, not lost: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a solid all-in-one platform, a ~15,000-follower Instagram, modern event fundraising, and a Charity Navigator rating — a strong base to build on.</w:t>
      </w:r>
    </w:p>
    <w:p>
      <w:pPr>
        <w:pStyle w:val="ListParagraph"/>
        <w:numPr>
          <w:ilvl w:val="0"/>
          <w:numId w:val="2"/>
        </w:numPr>
        <w:spacing w:after="70" w:before="30" w:line="296"/>
      </w:pPr>
      <w:r>
        <w:rPr>
          <w:rFonts w:ascii="Open Sans" w:cs="Open Sans" w:eastAsia="Open Sans" w:hAnsi="Open Sans"/>
          <w:b/>
          <w:bCs/>
          <w:color w:val="1A1A2E"/>
          <w:sz w:val="21"/>
          <w:szCs w:val="21"/>
        </w:rPr>
        <w:t xml:space="preserve">The clearest gap is the wedge: </w:t>
      </w:r>
      <w:r>
        <w:rPr>
          <w:rFonts w:ascii="Open Sans" w:cs="Open Sans" w:eastAsia="Open Sans" w:hAnsi="Open Sans"/>
          <w:b w:val="false"/>
          <w:bCs w:val="false"/>
          <w:color w:val="59595B"/>
          <w:sz w:val="21"/>
          <w:szCs w:val="21"/>
        </w:rPr>
        <w:t xml:space="preserve">an English-only website in a heavily Latino and Korean neighborhood, with strong outcomes (the 92%) invisible to search and AI assistants — fixable, and the best place to start.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AAC8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50"/>
              <w:left w:type="dxa" w:w="230"/>
              <w:bottom w:type="dxa" w:w="150"/>
              <w:right w:type="dxa" w:w="190"/>
            </w:tcMar>
          </w:tcPr>
          <w:p>
            <w:pPr>
              <w:keepNext/>
              <w:keepLines/>
              <w:spacing w:after="70" w:before="80"/>
            </w:pPr>
            <w:r>
              <w:rPr>
                <w:rFonts w:ascii="Open Sans" w:cs="Open Sans" w:eastAsia="Open Sans" w:hAnsi="Open Sans"/>
                <w:b/>
                <w:bCs/>
                <w:color w:val="1EAAC8"/>
                <w:sz w:val="22"/>
                <w:szCs w:val="22"/>
              </w:rPr>
              <w:t xml:space="preserve">A few corrections we made for accuracy</w:t>
            </w:r>
          </w:p>
          <w:p>
            <w:pPr>
              <w:keepNext w:val="false"/>
              <w:keepLines/>
              <w:spacing w:after="50" w:before="40" w:line="296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We discarded all figures belonging to a separate Minnesota organization (Alexandra House, Inc.), confirmed the founder’s order as the Sisters of St. Joseph of Carondelet, and set aside one outsized single-year revenue figure in a public database that appears to be a data artifact. That is the standard of evidence behind every figure here.</w:t>
            </w:r>
          </w:p>
        </w:tc>
      </w:tr>
    </w:tbl>
    <w:p>
      <w:pPr>
        <w:pStyle w:val="Heading2"/>
        <w:keepNext/>
        <w:keepLines/>
        <w:spacing w:after="110" w:before="26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The engine</w:t>
      </w:r>
    </w:p>
    <w:p>
      <w:pPr>
        <w:spacing w:after="60" w:before="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Three columns — be found and tell the story, raise more and win grants, and serve families and report impact — each delivered by a specific Technijian service, and much of the enabling technology free or granted to nonprofits.</w:t>
      </w:r>
    </w:p>
    <w:p>
      <w:pPr>
        <w:keepNext/>
        <w:spacing w:after="60" w:before="100"/>
        <w:jc w:val="center"/>
      </w:pPr>
      <w:r>
        <w:drawing>
          <wp:inline distT="0" distB="0" distL="0" distR="0">
            <wp:extent cx="5715000" cy="3581400"/>
            <wp:effectExtent t="0" r="0" b="0" l="0"/>
            <wp:docPr id="1" name="AI growth engine" descr="AI growth engine" title="AI growth engi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  <w:keepNext/>
        <w:keepLines/>
        <w:spacing w:after="110" w:before="260"/>
      </w:pPr>
      <w:r>
        <w:rPr>
          <w:rFonts w:ascii="Open Sans" w:cs="Open Sans" w:eastAsia="Open Sans" w:hAnsi="Open Sans"/>
          <w:b/>
          <w:bCs/>
          <w:color w:val="006DB6"/>
          <w:sz w:val="26"/>
          <w:szCs w:val="26"/>
        </w:rPr>
        <w:t xml:space="preserve">Investment &amp; the path forward</w:t>
      </w:r>
    </w:p>
    <w:p>
      <w:pPr>
        <w:spacing w:after="100" w:before="0" w:line="318"/>
        <w:jc w:val="both"/>
      </w:pPr>
      <w:r>
        <w:rPr>
          <w:rFonts w:ascii="Open Sans" w:cs="Open Sans" w:eastAsia="Open Sans" w:hAnsi="Open Sans"/>
          <w:b/>
          <w:bCs/>
          <w:i w:val="false"/>
          <w:iCs w:val="false"/>
          <w:color w:val="1A1A2E"/>
          <w:sz w:val="22"/>
          <w:szCs w:val="22"/>
        </w:rPr>
        <w:t xml:space="preserve">Affordable by design, no invented numbers. </w:t>
      </w: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We lean first on free and granted nonprofit technology — including up to $10,000 a month in free Google search ads and free Google Workspace — price the rest from real published ranges, and model returns only after discovery, in dollars raised and hours recovered rather than a revenue multiple. The path is start-small: prove one automation and a Spanish page, then grow as each step proves out.</w:t>
      </w:r>
    </w:p>
    <w:p>
      <w:pPr>
        <w:spacing w:after="110" w:before="0" w:line="318"/>
        <w:jc w:val="both"/>
      </w:pPr>
      <w:r>
        <w:rPr>
          <w:rFonts w:ascii="Open Sans" w:cs="Open Sans" w:eastAsia="Open Sans" w:hAnsi="Open Sans"/>
          <w:b w:val="false"/>
          <w:bCs w:val="false"/>
          <w:i w:val="false"/>
          <w:iCs w:val="false"/>
          <w:color w:val="59595B"/>
          <w:sz w:val="22"/>
          <w:szCs w:val="22"/>
        </w:rPr>
        <w:t xml:space="preserve">The easiest first step is a short working session on where AI creates measurable value for Alexandria House — no obligation. The full blueprint ends with a structured questionnaire, "Questions to Complete the Analysis," that turns this summary into a costed, calibrated plan scoped to your budget and grant cycles.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rPr>
          <w:cantSplit/>
        </w:trPr>
        <w:tc>
          <w:tcPr>
            <w:tcW w:type="dxa" w:w="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6DB6" w:val="clear"/>
          </w:tcPr>
          <w:p>
            <w:r>
              <w:t xml:space="preserve"/>
            </w:r>
          </w:p>
        </w:tc>
        <w:tc>
          <w:tcPr>
            <w:tcW w:type="dxa" w:w="92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9FA" w:val="clear"/>
            <w:tcMar>
              <w:top w:type="dxa" w:w="150"/>
              <w:left w:type="dxa" w:w="230"/>
              <w:bottom w:type="dxa" w:w="150"/>
              <w:right w:type="dxa" w:w="190"/>
            </w:tcMar>
          </w:tcPr>
          <w:p>
            <w:pPr>
              <w:keepNext/>
              <w:keepLines/>
              <w:spacing w:after="70" w:before="80"/>
            </w:pPr>
            <w:r>
              <w:rPr>
                <w:rFonts w:ascii="Open Sans" w:cs="Open Sans" w:eastAsia="Open Sans" w:hAnsi="Open Sans"/>
                <w:b/>
                <w:bCs/>
                <w:color w:val="006DB6"/>
                <w:sz w:val="22"/>
                <w:szCs w:val="22"/>
              </w:rPr>
              <w:t xml:space="preserve">Start the conversation</w:t>
            </w:r>
          </w:p>
          <w:p>
            <w:pPr>
              <w:keepNext w:val="false"/>
              <w:keepLines/>
              <w:spacing w:after="50" w:before="40" w:line="296"/>
            </w:pPr>
            <w:r>
              <w:rPr>
                <w:rFonts w:ascii="Open Sans" w:cs="Open Sans" w:eastAsia="Open Sans" w:hAnsi="Open Sans"/>
                <w:color w:val="59595B"/>
                <w:sz w:val="20"/>
                <w:szCs w:val="20"/>
              </w:rPr>
              <w:t xml:space="preserve">Ravi Jain, Founder &amp; CEO  ·  rjain@technijian.com  ·  949.379.8499  ·  technijian.com  ·  technology as a solution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700" w:right="1440" w:bottom="132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60"/>
      <w:jc w:val="center"/>
    </w:pPr>
    <w:r>
      <w:rPr>
        <w:rFonts w:ascii="Open Sans" w:cs="Open Sans" w:eastAsia="Open Sans" w:hAnsi="Open Sans"/>
        <w:b/>
        <w:bCs/>
        <w:color w:val="59595B"/>
        <w:sz w:val="16"/>
        <w:szCs w:val="16"/>
      </w:rPr>
      <w:t xml:space="preserve">Technijian</w:t>
    </w:r>
    <w:r>
      <w:rPr>
        <w:rFonts w:ascii="Open Sans" w:cs="Open Sans" w:eastAsia="Open Sans" w:hAnsi="Open Sans"/>
        <w:color w:val="59595B"/>
        <w:sz w:val="16"/>
        <w:szCs w:val="16"/>
      </w:rPr>
      <w:t xml:space="preserve">  ·  technology as a solution  ·  technijian.com  ·  949.379.8499  ·  CONFIDENTIAL  ·  Page </w:t>
    </w:r>
    <w:r>
      <w:rPr>
        <w:rFonts w:ascii="Open Sans" w:cs="Open Sans" w:eastAsia="Open Sans" w:hAnsi="Open Sans"/>
        <w:color w:val="59595B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FFFFFF" w:sz="0"/>
        <w:left w:val="none" w:color="FFFFFF" w:sz="0"/>
        <w:bottom w:val="single" w:color="006DB6" w:sz="6"/>
        <w:right w:val="none" w:color="FFFFFF" w:sz="0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r>
            <w:drawing>
              <wp:inline distT="0" distB="0" distL="0" distR="0">
                <wp:extent cx="1181100" cy="247650"/>
                <wp:effectExtent t="0" r="0" b="0" l="0"/>
                <wp:docPr id="1" name="Technijian Logo" descr="Technijian Logo" title="Techniji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81100" cy="2476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vAlign w:val="center"/>
        </w:tcPr>
        <w:p>
          <w:pPr>
            <w:jc w:val="right"/>
          </w:pPr>
          <w:r>
            <w:rPr>
              <w:rFonts w:ascii="Open Sans" w:cs="Open Sans" w:eastAsia="Open Sans" w:hAnsi="Open Sans"/>
              <w:color w:val="59595B"/>
              <w:sz w:val="16"/>
              <w:szCs w:val="16"/>
            </w:rPr>
            <w:t xml:space="preserve">Alexandria House  ·  Executive Summary</w:t>
          </w:r>
        </w:p>
      </w:tc>
    </w:tr>
  </w:tbl>
  <w:p>
    <w: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Open Sans" w:cs="Open Sans" w:eastAsia="Open Sans" w:hAnsi="Open Sans"/>
        <w:color w:val="59595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110" w:before="260"/>
      <w:outlineLvl w:val="1"/>
    </w:pPr>
    <w:rPr>
      <w:rFonts w:ascii="Open Sans" w:cs="Open Sans" w:eastAsia="Open Sans" w:hAnsi="Open Sans"/>
      <w:b/>
      <w:bCs/>
      <w:color w:val="006D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3103d8b7cd0eed7467432b2205de7bc29f677af.png"/><Relationship Id="rId10" Type="http://schemas.openxmlformats.org/officeDocument/2006/relationships/image" Target="media/dcece8bf71f6057f926a844dce582707c2f5ee6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3103d8b7cd0eed7467432b2205de7bc29f677af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Alexandria House — Executive Summary</dc:title>
  <dc:creator>Technijian</dc:creator>
  <dc:description>Forwardable executive summary for Alexandria House, prepared by Technijian.</dc:description>
  <cp:lastModifiedBy>Un-named</cp:lastModifiedBy>
  <cp:revision>1</cp:revision>
  <dcterms:created xsi:type="dcterms:W3CDTF">2026-06-16T21:57:17.592Z</dcterms:created>
  <dcterms:modified xsi:type="dcterms:W3CDTF">2026-06-16T21:57:17.593Z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