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</w:tbl>
    <w:p>
      <w:pPr>
        <w:spacing w:before="1800"/>
      </w:pPr>
    </w:p>
    <w:p>
      <w:pPr>
        <w:spacing w:after="300"/>
        <w:jc w:val="center"/>
      </w:pPr>
      <w:r>
        <w:drawing>
          <wp:inline distT="0" distB="0" distL="0" distR="0">
            <wp:extent cx="2667000" cy="552450"/>
            <wp:effectExtent t="0" r="0" b="0" l="0"/>
            <wp:docPr id="1" name="logo" descr="Logo" title="Technij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2800"/>
        <w:gridCol w:w="3280"/>
      </w:tblGrid>
      <w:tr>
        <w:tc>
          <w:tcPr>
            <w:tcW w:type="dxa" w:w="3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F67D4B" w:sz="6" w:space="0"/>
              </w:pBdr>
            </w:pPr>
          </w:p>
        </w:tc>
        <w:tc>
          <w:tcPr>
            <w:tcW w:type="dxa" w:w="328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before="400"/>
        <w:jc w:val="center"/>
      </w:pPr>
      <w:r>
        <w:rPr>
          <w:rFonts w:ascii="Open Sans" w:cs="Open Sans" w:eastAsia="Open Sans" w:hAnsi="Open Sans"/>
          <w:b/>
          <w:bCs/>
          <w:color w:val="1A1A2E"/>
          <w:sz w:val="52"/>
          <w:szCs w:val="52"/>
        </w:rPr>
        <w:t xml:space="preserve">[Framework] Compliance
Assessment</w:t>
      </w:r>
    </w:p>
    <w:p>
      <w:pPr>
        <w:spacing w:before="200"/>
        <w:jc w:val="center"/>
      </w:pPr>
      <w:r>
        <w:rPr>
          <w:rFonts w:ascii="Open Sans" w:cs="Open Sans" w:eastAsia="Open Sans" w:hAnsi="Open Sans"/>
          <w:color w:val="59595B"/>
          <w:sz w:val="26"/>
          <w:szCs w:val="26"/>
        </w:rPr>
        <w:t xml:space="preserve">Prepared for [Client Name]</w:t>
      </w:r>
    </w:p>
    <w:p>
      <w:pPr>
        <w:spacing w:before="100"/>
        <w:jc w:val="center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Assessment Date: [Month Day, Year]</w:t>
      </w:r>
    </w:p>
    <w:p>
      <w:pPr>
        <w:spacing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67D4B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</w:tbl>
    <w:p>
      <w:pPr>
        <w:spacing w:before="12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CONFIDENTIAL — For authorized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Executive Summary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8"/>
                <w:szCs w:val="48"/>
              </w:rPr>
              <w:t xml:space="preserve">[X]%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Compliance Readiness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48"/>
                <w:szCs w:val="48"/>
              </w:rPr>
              <w:t xml:space="preserve">[X]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Controls Assessed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48"/>
                <w:szCs w:val="48"/>
              </w:rPr>
              <w:t xml:space="preserve">[X]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Gaps Identified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[Provide a 2-3 paragraph summary of compliance readiness. What framework was assessed? What is the overall readiness score? What are the key gaps that need to be addressed?]</w:t>
      </w:r>
    </w:p>
    <w:p>
      <w:r>
        <w:br w:type="page"/>
      </w:r>
    </w:p>
    <w:p>
      <w:pPr>
        <w:pStyle w:val="Heading1"/>
      </w:pPr>
      <w:r>
        <w:t xml:space="preserve">Framework Overview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Framework Overview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[Provide a brief description of the compliance framework being assessed. For HIPAA: explain the Security Rule requirements. For PCI DSS: explain the 12 requirements. For SOC 2: explain the Trust Service Criteria. For GDPR: explain the key data protection principles.]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67D4B" w:sz="2"/>
              <w:left w:val="single" w:color="F67D4B" w:sz="6"/>
              <w:bottom w:val="single" w:color="F67D4B" w:sz="2"/>
              <w:right w:val="single" w:color="F67D4B" w:sz="2"/>
            </w:tcBorders>
            <w:shd w:fill="FE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Open Sans" w:cs="Open Sans" w:eastAsia="Open Sans" w:hAnsi="Open Sans"/>
                <w:color w:val="1A1A2E"/>
                <w:sz w:val="20"/>
                <w:szCs w:val="20"/>
              </w:rPr>
              <w:t xml:space="preserve">This assessment supports your compliance posture but does not constitute a formal audit or certification. Formal compliance certification requires engagement with an accredited auditor.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Control Assessment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Control Assessment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Control ID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Control Description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[ID-001]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Access control and authentication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Compliant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MFA enabled, RBAC configured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[ID-002]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Data encryption at rest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0"/>
                <w:szCs w:val="20"/>
              </w:rPr>
              <w:t xml:space="preserve">Partial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Encrypted on cloud; not all on-prem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[ID-003]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Audit logging and monitoring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Compliant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SIEM operational, 90-day retention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[ID-004]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Incident response procedures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Compliant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IR plan documented and tested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[ID-005]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Vulnerability management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0"/>
                <w:szCs w:val="20"/>
              </w:rPr>
              <w:t xml:space="preserve">Partial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Quarterly scans; remediation delayed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[ID-006]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Data backup and recovery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Compliant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Daily backups, DR tested quarterly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[ID-007]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Employee security training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0"/>
                <w:szCs w:val="20"/>
              </w:rPr>
              <w:t xml:space="preserve">Partial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75% completion rate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[ID-008]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Physical security controls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Compliant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Badge access, cameras, visitor logs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[ID-009]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Third-party risk management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CC0000"/>
                <w:sz w:val="20"/>
                <w:szCs w:val="20"/>
              </w:rPr>
              <w:t xml:space="preserve">Fail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No formal vendor review process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[ID-010]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Data retention and disposal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0"/>
                <w:szCs w:val="20"/>
              </w:rPr>
              <w:t xml:space="preserve">Partial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Retention policy exists; disposal gaps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Gap Analysis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Gap Analysis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The following controls were identified as non-compliant or partially compliant: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67D4B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8"/>
                <w:szCs w:val="28"/>
              </w:rPr>
              <w:t xml:space="preserve">Data Encryption (ID-002)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[Detailed description of the gap for Data Encryption (ID-002). What is the current state? What is required for compliance? What is the risk of non-compliance?]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67D4B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8"/>
                <w:szCs w:val="28"/>
              </w:rPr>
              <w:t xml:space="preserve">Vulnerability Management (ID-005)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[Detailed description of the gap for Vulnerability Management (ID-005). What is the current state? What is required for compliance? What is the risk of non-compliance?]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67D4B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8"/>
                <w:szCs w:val="28"/>
              </w:rPr>
              <w:t xml:space="preserve">Security Training (ID-007)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[Detailed description of the gap for Security Training (ID-007). What is the current state? What is required for compliance? What is the risk of non-compliance?]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67D4B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8"/>
                <w:szCs w:val="28"/>
              </w:rPr>
              <w:t xml:space="preserve">Third-Party Risk (ID-009)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[Detailed description of the gap for Third-Party Risk (ID-009). What is the current state? What is required for compliance? What is the risk of non-compliance?]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67D4B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8"/>
                <w:szCs w:val="28"/>
              </w:rPr>
              <w:t xml:space="preserve">Data Disposal (ID-010)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[Detailed description of the gap for Data Disposal (ID-010). What is the current state? What is required for compliance? What is the risk of non-compliance?]</w:t>
      </w:r>
    </w:p>
    <w:p>
      <w:r>
        <w:br w:type="page"/>
      </w:r>
    </w:p>
    <w:p>
      <w:pPr>
        <w:pStyle w:val="Heading1"/>
      </w:pPr>
      <w:r>
        <w:t xml:space="preserve">Remediation Plan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Remediation Plan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Control Gap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Remediation Action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Third-Party Risk (ID-009)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Implement vendor review program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Data Encryption (ID-002)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Enable encryption on on-prem servers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60 days</w:t>
            </w:r>
          </w:p>
        </w:tc>
      </w:tr>
      <w:tr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Vulnerability Mgmt (ID-005)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Automate monthly scans, SLA for remediation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45 days</w:t>
            </w:r>
          </w:p>
        </w:tc>
      </w:tr>
      <w:tr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Security Training (ID-007)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Mandate completion, add phishing simulations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Data Disposal (ID-010)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Implement certified disposal procedures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45 days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Timeline &amp; Investment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Timeline &amp; Investment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The following estimated effort and investment are required to close all identified compliance gaps: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Remediation Item</w:t>
            </w:r>
          </w:p>
        </w:tc>
        <w:tc>
          <w:tcPr>
            <w:tcW w:type="dxa" w:w="2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Estimated Hours</w:t>
            </w:r>
          </w:p>
        </w:tc>
        <w:tc>
          <w:tcPr>
            <w:tcW w:type="dxa" w:w="2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4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59595B"/>
                <w:sz w:val="20"/>
                <w:szCs w:val="20"/>
              </w:rPr>
              <w:t xml:space="preserve">Vendor review program</w:t>
            </w:r>
          </w:p>
        </w:tc>
        <w:tc>
          <w:tcPr>
            <w:tcW w:type="dxa" w:w="2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59595B"/>
                <w:sz w:val="20"/>
                <w:szCs w:val="20"/>
              </w:rPr>
              <w:t xml:space="preserve">[XX] hours</w:t>
            </w:r>
          </w:p>
        </w:tc>
        <w:tc>
          <w:tcPr>
            <w:tcW w:type="dxa" w:w="2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59595B"/>
                <w:sz w:val="20"/>
                <w:szCs w:val="20"/>
              </w:rPr>
              <w:t xml:space="preserve">$X,XXX</w:t>
            </w:r>
          </w:p>
        </w:tc>
      </w:tr>
      <w:tr>
        <w:tc>
          <w:tcPr>
            <w:tcW w:type="dxa" w:w="4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59595B"/>
                <w:sz w:val="20"/>
                <w:szCs w:val="20"/>
              </w:rPr>
              <w:t xml:space="preserve">On-prem encryption deployment</w:t>
            </w:r>
          </w:p>
        </w:tc>
        <w:tc>
          <w:tcPr>
            <w:tcW w:type="dxa" w:w="2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59595B"/>
                <w:sz w:val="20"/>
                <w:szCs w:val="20"/>
              </w:rPr>
              <w:t xml:space="preserve">[XX] hours</w:t>
            </w:r>
          </w:p>
        </w:tc>
        <w:tc>
          <w:tcPr>
            <w:tcW w:type="dxa" w:w="2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59595B"/>
                <w:sz w:val="20"/>
                <w:szCs w:val="20"/>
              </w:rPr>
              <w:t xml:space="preserve">$X,XXX</w:t>
            </w:r>
          </w:p>
        </w:tc>
      </w:tr>
      <w:tr>
        <w:tc>
          <w:tcPr>
            <w:tcW w:type="dxa" w:w="4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59595B"/>
                <w:sz w:val="20"/>
                <w:szCs w:val="20"/>
              </w:rPr>
              <w:t xml:space="preserve">Vulnerability management automation</w:t>
            </w:r>
          </w:p>
        </w:tc>
        <w:tc>
          <w:tcPr>
            <w:tcW w:type="dxa" w:w="2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59595B"/>
                <w:sz w:val="20"/>
                <w:szCs w:val="20"/>
              </w:rPr>
              <w:t xml:space="preserve">[XX] hours</w:t>
            </w:r>
          </w:p>
        </w:tc>
        <w:tc>
          <w:tcPr>
            <w:tcW w:type="dxa" w:w="2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59595B"/>
                <w:sz w:val="20"/>
                <w:szCs w:val="20"/>
              </w:rPr>
              <w:t xml:space="preserve">$X,XXX</w:t>
            </w:r>
          </w:p>
        </w:tc>
      </w:tr>
      <w:tr>
        <w:tc>
          <w:tcPr>
            <w:tcW w:type="dxa" w:w="4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59595B"/>
                <w:sz w:val="20"/>
                <w:szCs w:val="20"/>
              </w:rPr>
              <w:t xml:space="preserve">Security training program</w:t>
            </w:r>
          </w:p>
        </w:tc>
        <w:tc>
          <w:tcPr>
            <w:tcW w:type="dxa" w:w="2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59595B"/>
                <w:sz w:val="20"/>
                <w:szCs w:val="20"/>
              </w:rPr>
              <w:t xml:space="preserve">[XX] hours</w:t>
            </w:r>
          </w:p>
        </w:tc>
        <w:tc>
          <w:tcPr>
            <w:tcW w:type="dxa" w:w="2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59595B"/>
                <w:sz w:val="20"/>
                <w:szCs w:val="20"/>
              </w:rPr>
              <w:t xml:space="preserve">$X,XXX</w:t>
            </w:r>
          </w:p>
        </w:tc>
      </w:tr>
      <w:tr>
        <w:tc>
          <w:tcPr>
            <w:tcW w:type="dxa" w:w="4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59595B"/>
                <w:sz w:val="20"/>
                <w:szCs w:val="20"/>
              </w:rPr>
              <w:t xml:space="preserve">Data disposal procedures</w:t>
            </w:r>
          </w:p>
        </w:tc>
        <w:tc>
          <w:tcPr>
            <w:tcW w:type="dxa" w:w="2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59595B"/>
                <w:sz w:val="20"/>
                <w:szCs w:val="20"/>
              </w:rPr>
              <w:t xml:space="preserve">[XX] hours</w:t>
            </w:r>
          </w:p>
        </w:tc>
        <w:tc>
          <w:tcPr>
            <w:tcW w:type="dxa" w:w="2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59595B"/>
                <w:sz w:val="20"/>
                <w:szCs w:val="20"/>
              </w:rPr>
              <w:t xml:space="preserve">$X,XXX</w:t>
            </w:r>
          </w:p>
        </w:tc>
      </w:tr>
      <w:tr>
        <w:tc>
          <w:tcPr>
            <w:tcW w:type="dxa" w:w="4000"/>
            <w:gridSpan w:val="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Estimated Investment</w:t>
            </w:r>
          </w:p>
        </w:tc>
        <w:tc>
          <w:tcPr>
            <w:tcW w:type="dxa" w:w="2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67D4B"/>
                <w:sz w:val="22"/>
                <w:szCs w:val="22"/>
              </w:rPr>
              <w:t xml:space="preserve">$XX,XXX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About Technijian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Founded in 2000, Technijian delivers managed IT services, cybersecurity, cloud solutions, compliance support, and AI-driven development for small and mid-sized businesses. With offices in Irvine, CA and India, our dedicated Technijians pod model provides 24/7 support from a team that knows your infrastructure inside and out.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Questions? Contact us at 949.379.8500 or rjain@technijian.com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1" w:space="6"/>
      </w:pBdr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| 18 Technology Dr., Ste 141, Irvine, CA 92618 | 949.379.8500  •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B6" w:sz="2" w:space="6"/>
      </w:pBdr>
      <w:spacing w:after="60"/>
    </w:pPr>
    <w:r>
      <w:drawing>
        <wp:inline distT="0" distB="0" distL="0" distR="0">
          <wp:extent cx="1333500" cy="276225"/>
          <wp:effectExtent t="0" r="0" b="0" l="0"/>
          <wp:docPr id="1" name="logo" descr="Logo" title="Techniji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Open Sans" w:cs="Open Sans" w:eastAsia="Open Sans" w:hAnsi="Open Sans"/>
      <w:b/>
      <w:bCs/>
      <w:color w:val="006D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a411e2cba4fb0a0de5b42d0cbf546939e758d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2026-03-07T20:21:08.198Z</dcterms:created>
  <dcterms:modified xsi:type="dcterms:W3CDTF">2026-03-07T20:21:08.199Z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