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800"/>
      </w:pPr>
    </w:p>
    <w:p>
      <w:pPr>
        <w:spacing w:after="300"/>
        <w:jc w:val="center"/>
      </w:pPr>
      <w:r>
        <w:drawing>
          <wp:inline distT="0" distB="0" distL="0" distR="0">
            <wp:extent cx="2667000" cy="552450"/>
            <wp:effectExtent t="0" r="0" b="0" l="0"/>
            <wp:docPr id="1" name="logo" descr="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2800"/>
        <w:gridCol w:w="3280"/>
      </w:tblGrid>
      <w:tr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bottom w:val="single" w:color="F67D4B" w:sz="6" w:space="0"/>
              </w:pBdr>
            </w:pPr>
          </w:p>
        </w:tc>
        <w:tc>
          <w:tcPr>
            <w:tcW w:type="dxa" w:w="328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before="400"/>
        <w:jc w:val="center"/>
      </w:pPr>
      <w:r>
        <w:rPr>
          <w:rFonts w:ascii="Open Sans" w:cs="Open Sans" w:eastAsia="Open Sans" w:hAnsi="Open Sans"/>
          <w:b/>
          <w:bCs/>
          <w:color w:val="1A1A2E"/>
          <w:sz w:val="52"/>
          <w:szCs w:val="52"/>
        </w:rPr>
        <w:t xml:space="preserve">IT Assessment Report</w:t>
      </w:r>
    </w:p>
    <w:p>
      <w:pPr>
        <w:spacing w:before="200"/>
        <w:jc w:val="center"/>
      </w:pPr>
      <w:r>
        <w:rPr>
          <w:rFonts w:ascii="Open Sans" w:cs="Open Sans" w:eastAsia="Open Sans" w:hAnsi="Open Sans"/>
          <w:color w:val="59595B"/>
          <w:sz w:val="26"/>
          <w:szCs w:val="26"/>
        </w:rPr>
        <w:t xml:space="preserve">Prepared for [Client Name]</w:t>
      </w:r>
    </w:p>
    <w:p>
      <w:pPr>
        <w:spacing w:before="100"/>
        <w:jc w:val="center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Assessment Period: [Start Date] – [End Date]</w:t>
      </w:r>
    </w:p>
    <w:p>
      <w:pPr>
        <w:spacing w:before="1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/>
        </w:tc>
      </w:tr>
    </w:tbl>
    <w:p>
      <w:pPr>
        <w:spacing w:before="12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CONFIDENTIAL — For authorized use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Executive Summary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[Provide a 2-3 paragraph summary of key findings. What is the overall health of the client’s IT environment? What are the top 3 risks? What is the recommended course of action?]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C0000"/>
                <w:sz w:val="48"/>
                <w:szCs w:val="48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Critical Findings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8"/>
                <w:szCs w:val="48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High Findings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8"/>
                <w:szCs w:val="48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Medium Findings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48"/>
                <w:szCs w:val="48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Low Findings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Assessment Scope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Assessment Scope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The following areas were evaluated during this assessment: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Network infrastructure (switches, routers, firewalls, wireless)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Server environment (physical and virtual servers,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Endpoint devices (desktops, laptops, mobile devices)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Cloud services (Microsoft 365, Azure/AWS resources)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Security posture (antivirus, EDR, patching, access controls)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Backup and disaster recovery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Compliance readiness ([HIPAA/PCI/SOC 2] as applicable)</w:t>
      </w:r>
    </w:p>
    <w:p>
      <w:r>
        <w:br w:type="page"/>
      </w:r>
    </w:p>
    <w:p>
      <w:pPr>
        <w:pStyle w:val="Heading1"/>
      </w:pPr>
      <w:r>
        <w:t xml:space="preserve">Findings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Findings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1EAAC8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1EAAC8"/>
                <w:sz w:val="28"/>
                <w:szCs w:val="28"/>
              </w:rPr>
              <w:t xml:space="preserve">Network Infrastructure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[Describe network findings. Include specifics about firewall configuration, switch age, wireless security, segmentation, etc.]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28"/>
                <w:szCs w:val="28"/>
              </w:rPr>
              <w:t xml:space="preserve">Endpoint Security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[Describe endpoint findings. Include OS patch status, antivirus coverage, EDR deployment, device age, and encryption status.]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Cloud &amp; Identity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[Describe cloud and identity findings. Include MFA adoption, conditional access, license utilization, admin account security.]</w:t>
      </w:r>
    </w:p>
    <w:p>
      <w:r>
        <w:br w:type="page"/>
      </w:r>
    </w:p>
    <w:p>
      <w:pPr>
        <w:pStyle w:val="Heading1"/>
      </w:pPr>
      <w:r>
        <w:t xml:space="preserve">Risk Matrix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Risk Matrix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1]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[Business impact]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action]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2]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[Business impact]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action]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3]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[Business impact]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action]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4]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[Business impact]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action]</w:t>
            </w:r>
          </w:p>
        </w:tc>
      </w:tr>
      <w:tr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[Finding 5]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[Business impact]</w:t>
            </w:r>
          </w:p>
        </w:tc>
        <w:tc>
          <w:tcPr>
            <w:tcW w:type="dxa" w:w="234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[Recommended action]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Recommendations</w:t>
            </w:r>
          </w:p>
        </w:tc>
      </w:tr>
    </w:tbl>
    <w:p>
      <w:pPr>
        <w:spacing w:before="120"/>
      </w:pP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CC00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Immediate (0-30 days)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1 for this timeframe]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2 for this timeframe]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3 for this timeframe]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Short-Term (30-90 days)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1 for this timeframe]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2 for this timeframe]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3 for this timeframe]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Strategic (90+ days)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1 for this timeframe]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2 for this timeframe]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59595B"/>
          <w:sz w:val="22"/>
          <w:szCs w:val="22"/>
        </w:rPr>
        <w:t xml:space="preserve">[Action item 3 for this timeframe]</w:t>
      </w:r>
    </w:p>
    <w:p>
      <w:r>
        <w:br w:type="page"/>
      </w:r>
    </w:p>
    <w:p>
      <w:pPr>
        <w:pStyle w:val="Heading1"/>
      </w:pPr>
      <w:r>
        <w:t xml:space="preserve">About Technijian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8"/>
                <w:szCs w:val="28"/>
              </w:rPr>
              <w:t xml:space="preserve">About Technijian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Founded in 2000, Technijian delivers managed IT services, cybersecurity, cloud solutions, compliance support, and AI-driven development for small and mid-sized businesses. With offices in Irvine, CA and India, our dedicated Technijians pod model provides 24/7 support from a team that knows your infrastructure inside and out.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2"/>
                <w:szCs w:val="22"/>
              </w:rPr>
              <w:t xml:space="preserve">Questions? Contact us at 949.379.8500 or rjain@technijian.com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| 18 Technology Dr., Ste 141, Irvine, CA 92618 | 949.379.8500  •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  <w:spacing w:after="60"/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Open Sans" w:cs="Open Sans" w:eastAsia="Open Sans" w:hAnsi="Open Sans"/>
      <w:b/>
      <w:bCs/>
      <w:color w:val="006D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2026-03-07T20:21:07.771Z</dcterms:created>
  <dcterms:modified xsi:type="dcterms:W3CDTF">2026-03-07T20:21:07.772Z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