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06DB6" w:val="clear"/>
            <w:tcMar>
              <w:top w:type="dxa" w:w="20"/>
              <w:left w:type="dxa" w:w="0"/>
              <w:bottom w:type="dxa" w:w="20"/>
              <w:right w:type="dxa" w:w="0"/>
            </w:tcMar>
          </w:tcPr>
          <w:p/>
        </w:tc>
      </w:tr>
    </w:tbl>
    <w:p>
      <w:pPr>
        <w:spacing w:before="1800"/>
      </w:pPr>
    </w:p>
    <w:p>
      <w:pPr>
        <w:jc w:val="center"/>
      </w:pPr>
      <w:r>
        <w:drawing>
          <wp:inline distT="0" distB="0" distL="0" distR="0">
            <wp:extent cx="2667000" cy="552450"/>
            <wp:effectExtent t="0" r="0" b="0" l="0"/>
            <wp:docPr id="1" name="logo" descr="Logo" title="Technij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552450"/>
                    </a:xfrm>
                    <a:prstGeom prst="rect">
                      <a:avLst/>
                    </a:prstGeom>
                  </pic:spPr>
                </pic:pic>
              </a:graphicData>
            </a:graphic>
          </wp:inline>
        </w:drawing>
      </w:r>
    </w:p>
    <w:p>
      <w:pPr>
        <w:spacing w:before="300"/>
        <w:jc w:val="cente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80"/>
        <w:gridCol w:w="2800"/>
        <w:gridCol w:w="3280"/>
      </w:tblGrid>
      <w:tr>
        <w:tc>
          <w:tcPr>
            <w:tcW w:type="dxa" w:w="3280"/>
            <w:tcBorders>
              <w:top w:val="none"/>
              <w:left w:val="none"/>
              <w:bottom w:val="none"/>
              <w:right w:val="none"/>
            </w:tcBorders>
          </w:tcPr>
          <w:p/>
        </w:tc>
        <w:tc>
          <w:tcPr>
            <w:tcW w:type="dxa" w:w="2800"/>
            <w:tcBorders>
              <w:top w:val="none"/>
              <w:left w:val="none"/>
              <w:bottom w:val="none"/>
              <w:right w:val="none"/>
            </w:tcBorders>
          </w:tcPr>
          <w:p>
            <w:pPr>
              <w:pBdr>
                <w:bottom w:val="single" w:color="F67D4B" w:sz="6" w:space="0"/>
              </w:pBdr>
            </w:pPr>
          </w:p>
        </w:tc>
        <w:tc>
          <w:tcPr>
            <w:tcW w:type="dxa" w:w="3280"/>
            <w:tcBorders>
              <w:top w:val="none"/>
              <w:left w:val="none"/>
              <w:bottom w:val="none"/>
              <w:right w:val="none"/>
            </w:tcBorders>
          </w:tcPr>
          <w:p/>
        </w:tc>
      </w:tr>
    </w:tbl>
    <w:p>
      <w:pPr>
        <w:spacing w:before="400"/>
        <w:jc w:val="center"/>
      </w:pPr>
      <w:r>
        <w:rPr>
          <w:rFonts w:ascii="Open Sans" w:cs="Open Sans" w:eastAsia="Open Sans" w:hAnsi="Open Sans"/>
          <w:b/>
          <w:bCs/>
          <w:color w:val="1A1A2E"/>
          <w:sz w:val="52"/>
          <w:szCs w:val="52"/>
        </w:rPr>
        <w:t xml:space="preserve">Master Services Agreement</w:t>
      </w:r>
    </w:p>
    <w:p>
      <w:pPr>
        <w:spacing w:before="400"/>
        <w:jc w:val="center"/>
      </w:pPr>
      <w:r>
        <w:rPr>
          <w:rFonts w:ascii="Open Sans" w:cs="Open Sans" w:eastAsia="Open Sans" w:hAnsi="Open Sans"/>
          <w:color w:val="59595B"/>
          <w:sz w:val="24"/>
          <w:szCs w:val="24"/>
        </w:rPr>
        <w:t xml:space="preserve">Between</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80"/>
        <w:gridCol w:w="600"/>
        <w:gridCol w:w="4380"/>
      </w:tblGrid>
      <w:tr>
        <w:tc>
          <w:tcPr>
            <w:tcW w:type="dxa" w:w="4380"/>
            <w:tcBorders>
              <w:top w:val="none"/>
              <w:left w:val="none"/>
              <w:bottom w:val="none"/>
              <w:right w:val="none"/>
            </w:tcBorders>
            <w:shd w:fill="F8F9FA" w:val="clear"/>
            <w:tcMar>
              <w:top w:type="dxa" w:w="120"/>
              <w:left w:type="dxa" w:w="160"/>
              <w:bottom w:type="dxa" w:w="120"/>
              <w:right w:type="dxa" w:w="160"/>
            </w:tcMar>
          </w:tcPr>
          <w:p>
            <w:pPr>
              <w:jc w:val="center"/>
            </w:pPr>
            <w:r>
              <w:rPr>
                <w:rFonts w:ascii="Open Sans" w:cs="Open Sans" w:eastAsia="Open Sans" w:hAnsi="Open Sans"/>
                <w:b/>
                <w:bCs/>
                <w:color w:val="006DB6"/>
                <w:sz w:val="28"/>
                <w:szCs w:val="28"/>
              </w:rPr>
              <w:t xml:space="preserve">Technijian</w:t>
            </w:r>
          </w:p>
          <w:p>
            <w:pPr>
              <w:jc w:val="center"/>
            </w:pPr>
            <w:r>
              <w:rPr>
                <w:rFonts w:ascii="Open Sans" w:cs="Open Sans" w:eastAsia="Open Sans" w:hAnsi="Open Sans"/>
                <w:color w:val="59595B"/>
                <w:sz w:val="18"/>
                <w:szCs w:val="18"/>
              </w:rPr>
              <w:t xml:space="preserve">Provider</w:t>
            </w:r>
          </w:p>
        </w:tc>
        <w:tc>
          <w:tcPr>
            <w:tcW w:type="dxa" w:w="600"/>
            <w:tcBorders>
              <w:top w:val="none"/>
              <w:left w:val="none"/>
              <w:bottom w:val="none"/>
              <w:right w:val="none"/>
            </w:tcBorders>
          </w:tcPr>
          <w:p>
            <w:pPr>
              <w:spacing w:before="80"/>
              <w:jc w:val="center"/>
            </w:pPr>
            <w:r>
              <w:rPr>
                <w:rFonts w:ascii="Open Sans" w:cs="Open Sans" w:eastAsia="Open Sans" w:hAnsi="Open Sans"/>
                <w:color w:val="F67D4B"/>
                <w:sz w:val="28"/>
                <w:szCs w:val="28"/>
              </w:rPr>
              <w:t xml:space="preserve">&amp;</w:t>
            </w:r>
          </w:p>
        </w:tc>
        <w:tc>
          <w:tcPr>
            <w:tcW w:type="dxa" w:w="4380"/>
            <w:tcBorders>
              <w:top w:val="none"/>
              <w:left w:val="none"/>
              <w:bottom w:val="none"/>
              <w:right w:val="none"/>
            </w:tcBorders>
            <w:shd w:fill="F8F9FA" w:val="clear"/>
            <w:tcMar>
              <w:top w:type="dxa" w:w="120"/>
              <w:left w:type="dxa" w:w="160"/>
              <w:bottom w:type="dxa" w:w="120"/>
              <w:right w:type="dxa" w:w="160"/>
            </w:tcMar>
          </w:tcPr>
          <w:p>
            <w:pPr>
              <w:jc w:val="center"/>
            </w:pPr>
            <w:r>
              <w:rPr>
                <w:rFonts w:ascii="Open Sans" w:cs="Open Sans" w:eastAsia="Open Sans" w:hAnsi="Open Sans"/>
                <w:b/>
                <w:bCs/>
                <w:color w:val="1A1A2E"/>
                <w:sz w:val="28"/>
                <w:szCs w:val="28"/>
              </w:rPr>
              <w:t xml:space="preserve">[Client Name]</w:t>
            </w:r>
          </w:p>
          <w:p>
            <w:pPr>
              <w:jc w:val="center"/>
            </w:pPr>
            <w:r>
              <w:rPr>
                <w:rFonts w:ascii="Open Sans" w:cs="Open Sans" w:eastAsia="Open Sans" w:hAnsi="Open Sans"/>
                <w:color w:val="59595B"/>
                <w:sz w:val="18"/>
                <w:szCs w:val="18"/>
              </w:rPr>
              <w:t xml:space="preserve">Client</w:t>
            </w:r>
          </w:p>
        </w:tc>
      </w:tr>
    </w:tbl>
    <w:p>
      <w:pPr>
        <w:spacing w:before="400"/>
        <w:jc w:val="center"/>
      </w:pPr>
      <w:r>
        <w:rPr>
          <w:rFonts w:ascii="Open Sans" w:cs="Open Sans" w:eastAsia="Open Sans" w:hAnsi="Open Sans"/>
          <w:color w:val="59595B"/>
          <w:sz w:val="22"/>
          <w:szCs w:val="22"/>
        </w:rPr>
        <w:t xml:space="preserve">Effective Date: [Month Day, Year]</w:t>
      </w:r>
    </w:p>
    <w:p>
      <w:pPr>
        <w:spacing w:before="8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67D4B" w:val="clear"/>
            <w:tcMar>
              <w:top w:type="dxa" w:w="20"/>
              <w:left w:type="dxa" w:w="0"/>
              <w:bottom w:type="dxa" w:w="20"/>
              <w:right w:type="dxa" w:w="0"/>
            </w:tcMar>
          </w:tcPr>
          <w:p/>
        </w:tc>
      </w:tr>
    </w:tbl>
    <w:p>
      <w:pPr>
        <w:spacing w:before="120"/>
        <w:jc w:val="center"/>
      </w:pPr>
      <w:r>
        <w:rPr>
          <w:rFonts w:ascii="Open Sans" w:cs="Open Sans" w:eastAsia="Open Sans" w:hAnsi="Open Sans"/>
          <w:i/>
          <w:iCs/>
          <w:color w:val="59595B"/>
          <w:sz w:val="18"/>
          <w:szCs w:val="18"/>
        </w:rPr>
        <w:t xml:space="preserve">CONFIDENTIAL — For authorized use only</w:t>
      </w:r>
    </w:p>
    <w:p>
      <w:pPr>
        <w:sectPr>
          <w:pgSz w:w="12240" w:h="15840" w:orient="portrait"/>
          <w:pgMar w:top="1440" w:right="1440" w:bottom="1440" w:left="1440" w:header="708" w:footer="708" w:gutter="0"/>
          <w:pgNumType/>
          <w:docGrid w:linePitch="360"/>
        </w:sectPr>
      </w:pPr>
    </w:p>
    <w:p>
      <w:pPr>
        <w:spacing w:after="120"/>
      </w:pPr>
      <w:r>
        <w:rPr>
          <w:rFonts w:ascii="Open Sans" w:cs="Open Sans" w:eastAsia="Open Sans" w:hAnsi="Open Sans"/>
          <w:color w:val="59595B"/>
          <w:sz w:val="22"/>
          <w:szCs w:val="22"/>
        </w:rPr>
        <w:t xml:space="preserve">This Master Services Agreement (“Agreement”) is entered into as of [Effective Date] (“Effective Date”) by and between Technijian, a California corporation with offices at 18 Technology Dr., Ste 141, Irvine, CA 92618 (“Provider”), and [Client Legal Name], a [State] [entity type] with offices at [Client Address] (“Client”).</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1. DEFINITIONS</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06DB6" w:val="clear"/>
            <w:tcMar>
              <w:top w:type="dxa" w:w="80"/>
              <w:left w:type="dxa" w:w="160"/>
              <w:bottom w:type="dxa" w:w="80"/>
              <w:right w:type="dxa" w:w="160"/>
            </w:tcMar>
          </w:tcPr>
          <w:p>
            <w:r>
              <w:rPr>
                <w:rFonts w:ascii="Open Sans" w:cs="Open Sans" w:eastAsia="Open Sans" w:hAnsi="Open Sans"/>
                <w:b/>
                <w:bCs/>
                <w:color w:val="FFFFFF"/>
                <w:sz w:val="22"/>
                <w:szCs w:val="22"/>
              </w:rPr>
              <w:t xml:space="preserve">Key Definitions</w:t>
            </w:r>
          </w:p>
        </w:tc>
      </w:tr>
      <w:tr>
        <w:tc>
          <w:tcPr>
            <w:tcW w:type="dxa" w:w="9360"/>
            <w:tcBorders>
              <w:top w:val="single" w:color="E9ECEF" w:sz="1"/>
              <w:left w:val="single" w:color="E9ECEF" w:sz="1"/>
              <w:bottom w:val="none"/>
              <w:right w:val="single" w:color="E9ECEF" w:sz="1"/>
            </w:tcBorders>
            <w:shd w:fill="F8F9FA" w:val="clear"/>
            <w:tcMar>
              <w:top w:type="dxa" w:w="60"/>
              <w:left w:type="dxa" w:w="160"/>
              <w:bottom w:type="dxa" w:w="60"/>
              <w:right w:type="dxa" w:w="160"/>
            </w:tcMar>
          </w:tcPr>
          <w:p>
            <w:r>
              <w:rPr>
                <w:rFonts w:ascii="Open Sans" w:cs="Open Sans" w:eastAsia="Open Sans" w:hAnsi="Open Sans"/>
                <w:b/>
                <w:bCs/>
                <w:color w:val="1A1A2E"/>
                <w:sz w:val="20"/>
                <w:szCs w:val="20"/>
              </w:rPr>
              <w:t xml:space="preserve">Confidential Information</w:t>
            </w:r>
            <w:r>
              <w:rPr>
                <w:rFonts w:ascii="Open Sans" w:cs="Open Sans" w:eastAsia="Open Sans" w:hAnsi="Open Sans"/>
                <w:color w:val="59595B"/>
                <w:sz w:val="20"/>
                <w:szCs w:val="20"/>
              </w:rPr>
              <w:t xml:space="preserve"> — Any non-public information disclosed by either party, designated as confidential or that a reasonable person would understand to be confidential.</w:t>
            </w:r>
          </w:p>
        </w:tc>
      </w:tr>
      <w:tr>
        <w:tc>
          <w:tcPr>
            <w:tcW w:type="dxa" w:w="9360"/>
            <w:tcBorders>
              <w:top w:val="single" w:color="E9ECEF" w:sz="1"/>
              <w:left w:val="single" w:color="E9ECEF" w:sz="1"/>
              <w:bottom w:val="none"/>
              <w:right w:val="single" w:color="E9ECEF" w:sz="1"/>
            </w:tcBorders>
            <w:shd w:fill="FFFFFF" w:val="clear"/>
            <w:tcMar>
              <w:top w:type="dxa" w:w="60"/>
              <w:left w:type="dxa" w:w="160"/>
              <w:bottom w:type="dxa" w:w="60"/>
              <w:right w:type="dxa" w:w="160"/>
            </w:tcMar>
          </w:tcPr>
          <w:p>
            <w:r>
              <w:rPr>
                <w:rFonts w:ascii="Open Sans" w:cs="Open Sans" w:eastAsia="Open Sans" w:hAnsi="Open Sans"/>
                <w:b/>
                <w:bCs/>
                <w:color w:val="1A1A2E"/>
                <w:sz w:val="20"/>
                <w:szCs w:val="20"/>
              </w:rPr>
              <w:t xml:space="preserve">Services</w:t>
            </w:r>
            <w:r>
              <w:rPr>
                <w:rFonts w:ascii="Open Sans" w:cs="Open Sans" w:eastAsia="Open Sans" w:hAnsi="Open Sans"/>
                <w:color w:val="59595B"/>
                <w:sz w:val="20"/>
                <w:szCs w:val="20"/>
              </w:rPr>
              <w:t xml:space="preserve"> — The managed IT services, consulting, and related services described in one or more Statements of Work executed under this Agreement.</w:t>
            </w:r>
          </w:p>
        </w:tc>
      </w:tr>
      <w:tr>
        <w:tc>
          <w:tcPr>
            <w:tcW w:type="dxa" w:w="9360"/>
            <w:tcBorders>
              <w:top w:val="single" w:color="E9ECEF" w:sz="1"/>
              <w:left w:val="single" w:color="E9ECEF" w:sz="1"/>
              <w:bottom w:val="none"/>
              <w:right w:val="single" w:color="E9ECEF" w:sz="1"/>
            </w:tcBorders>
            <w:shd w:fill="F8F9FA" w:val="clear"/>
            <w:tcMar>
              <w:top w:type="dxa" w:w="60"/>
              <w:left w:type="dxa" w:w="160"/>
              <w:bottom w:type="dxa" w:w="60"/>
              <w:right w:type="dxa" w:w="160"/>
            </w:tcMar>
          </w:tcPr>
          <w:p>
            <w:r>
              <w:rPr>
                <w:rFonts w:ascii="Open Sans" w:cs="Open Sans" w:eastAsia="Open Sans" w:hAnsi="Open Sans"/>
                <w:b/>
                <w:bCs/>
                <w:color w:val="1A1A2E"/>
                <w:sz w:val="20"/>
                <w:szCs w:val="20"/>
              </w:rPr>
              <w:t xml:space="preserve">Statement of Work (SOW)</w:t>
            </w:r>
            <w:r>
              <w:rPr>
                <w:rFonts w:ascii="Open Sans" w:cs="Open Sans" w:eastAsia="Open Sans" w:hAnsi="Open Sans"/>
                <w:color w:val="59595B"/>
                <w:sz w:val="20"/>
                <w:szCs w:val="20"/>
              </w:rPr>
              <w:t xml:space="preserve"> — A document executed by both parties that describes specific Services, deliverables, timelines, and fees.</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2. SCOPE OF SERVICES</w:t>
            </w:r>
          </w:p>
        </w:tc>
      </w:tr>
    </w:tbl>
    <w:p>
      <w:pPr>
        <w:spacing w:after="100" w:before="240"/>
      </w:pPr>
      <w:r>
        <w:rPr>
          <w:rFonts w:ascii="Open Sans" w:cs="Open Sans" w:eastAsia="Open Sans" w:hAnsi="Open Sans"/>
          <w:b/>
          <w:bCs/>
          <w:color w:val="1A1A2E"/>
          <w:sz w:val="24"/>
          <w:szCs w:val="24"/>
        </w:rPr>
        <w:t xml:space="preserve">2.1 General</w:t>
      </w:r>
    </w:p>
    <w:p>
      <w:pPr>
        <w:spacing w:after="120"/>
      </w:pPr>
      <w:r>
        <w:rPr>
          <w:rFonts w:ascii="Open Sans" w:cs="Open Sans" w:eastAsia="Open Sans" w:hAnsi="Open Sans"/>
          <w:color w:val="59595B"/>
          <w:sz w:val="22"/>
          <w:szCs w:val="22"/>
        </w:rPr>
        <w:t xml:space="preserve">Provider will perform the Services described in each SOW executed under this Agreement. Each SOW is incorporated by reference and subject to the terms of this Agreement.</w:t>
      </w:r>
    </w:p>
    <w:p>
      <w:pPr>
        <w:spacing w:after="100" w:before="240"/>
      </w:pPr>
      <w:r>
        <w:rPr>
          <w:rFonts w:ascii="Open Sans" w:cs="Open Sans" w:eastAsia="Open Sans" w:hAnsi="Open Sans"/>
          <w:b/>
          <w:bCs/>
          <w:color w:val="1A1A2E"/>
          <w:sz w:val="24"/>
          <w:szCs w:val="24"/>
        </w:rPr>
        <w:t xml:space="preserve">2.2 Changes</w:t>
      </w:r>
    </w:p>
    <w:p>
      <w:pPr>
        <w:spacing w:after="120"/>
      </w:pPr>
      <w:r>
        <w:rPr>
          <w:rFonts w:ascii="Open Sans" w:cs="Open Sans" w:eastAsia="Open Sans" w:hAnsi="Open Sans"/>
          <w:color w:val="59595B"/>
          <w:sz w:val="22"/>
          <w:szCs w:val="22"/>
        </w:rPr>
        <w:t xml:space="preserve">Changes to the scope of any SOW must be documented in a written change order signed by both parties. Provider reserves the right to adjust fees for material scope changes.</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3. TERM AND RENEWAL</w:t>
            </w:r>
          </w:p>
        </w:tc>
      </w:tr>
    </w:tbl>
    <w:p>
      <w:pPr>
        <w:spacing w:after="100" w:before="240"/>
      </w:pPr>
      <w:r>
        <w:rPr>
          <w:rFonts w:ascii="Open Sans" w:cs="Open Sans" w:eastAsia="Open Sans" w:hAnsi="Open Sans"/>
          <w:b/>
          <w:bCs/>
          <w:color w:val="1A1A2E"/>
          <w:sz w:val="24"/>
          <w:szCs w:val="24"/>
        </w:rPr>
        <w:t xml:space="preserve">3.1 Initial Term</w:t>
      </w:r>
    </w:p>
    <w:p>
      <w:pPr>
        <w:spacing w:after="120"/>
      </w:pPr>
      <w:r>
        <w:rPr>
          <w:rFonts w:ascii="Open Sans" w:cs="Open Sans" w:eastAsia="Open Sans" w:hAnsi="Open Sans"/>
          <w:color w:val="59595B"/>
          <w:sz w:val="22"/>
          <w:szCs w:val="22"/>
        </w:rPr>
        <w:t xml:space="preserve">This Agreement commences on the Effective Date and continues for a period of [12/24/36] months (“Initial Term”).</w:t>
      </w:r>
    </w:p>
    <w:p>
      <w:pPr>
        <w:spacing w:after="100" w:before="240"/>
      </w:pPr>
      <w:r>
        <w:rPr>
          <w:rFonts w:ascii="Open Sans" w:cs="Open Sans" w:eastAsia="Open Sans" w:hAnsi="Open Sans"/>
          <w:b/>
          <w:bCs/>
          <w:color w:val="1A1A2E"/>
          <w:sz w:val="24"/>
          <w:szCs w:val="24"/>
        </w:rPr>
        <w:t xml:space="preserve">3.2 Renewal</w:t>
      </w:r>
    </w:p>
    <w:p>
      <w:pPr>
        <w:spacing w:after="120"/>
      </w:pPr>
      <w:r>
        <w:rPr>
          <w:rFonts w:ascii="Open Sans" w:cs="Open Sans" w:eastAsia="Open Sans" w:hAnsi="Open Sans"/>
          <w:color w:val="59595B"/>
          <w:sz w:val="22"/>
          <w:szCs w:val="22"/>
        </w:rPr>
        <w:t xml:space="preserve">This Agreement will automatically renew for successive [12]-month periods unless either party provides written notice of non-renewal at least [60] days prior to the end of the then-current term.</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4. FEES AND PAYMENT</w:t>
            </w:r>
          </w:p>
        </w:tc>
      </w:tr>
    </w:tbl>
    <w:p>
      <w:pPr>
        <w:spacing w:after="100" w:before="240"/>
      </w:pPr>
      <w:r>
        <w:rPr>
          <w:rFonts w:ascii="Open Sans" w:cs="Open Sans" w:eastAsia="Open Sans" w:hAnsi="Open Sans"/>
          <w:b/>
          <w:bCs/>
          <w:color w:val="1A1A2E"/>
          <w:sz w:val="24"/>
          <w:szCs w:val="24"/>
        </w:rPr>
        <w:t xml:space="preserve">4.1 Fees</w:t>
      </w:r>
    </w:p>
    <w:p>
      <w:pPr>
        <w:spacing w:after="120"/>
      </w:pPr>
      <w:r>
        <w:rPr>
          <w:rFonts w:ascii="Open Sans" w:cs="Open Sans" w:eastAsia="Open Sans" w:hAnsi="Open Sans"/>
          <w:color w:val="59595B"/>
          <w:sz w:val="22"/>
          <w:szCs w:val="22"/>
        </w:rPr>
        <w:t xml:space="preserve">Client will pay the fees specified in each SOW. Unless otherwise stated, fees are invoiced monthly in advance.</w:t>
      </w:r>
    </w:p>
    <w:p>
      <w:pPr>
        <w:spacing w:after="100" w:before="240"/>
      </w:pPr>
      <w:r>
        <w:rPr>
          <w:rFonts w:ascii="Open Sans" w:cs="Open Sans" w:eastAsia="Open Sans" w:hAnsi="Open Sans"/>
          <w:b/>
          <w:bCs/>
          <w:color w:val="1A1A2E"/>
          <w:sz w:val="24"/>
          <w:szCs w:val="24"/>
        </w:rPr>
        <w:t xml:space="preserve">4.2 Payment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left w:val="none"/>
              <w:bottom w:val="none"/>
              <w:right w:val="none"/>
            </w:tcBorders>
            <w:shd w:fill="006DB6" w:val="clear"/>
            <w:tcMar>
              <w:top w:type="dxa" w:w="80"/>
              <w:left w:type="dxa" w:w="120"/>
              <w:bottom w:type="dxa" w:w="80"/>
              <w:right w:type="dxa" w:w="120"/>
            </w:tcMar>
          </w:tcPr>
          <w:p>
            <w:pPr>
              <w:jc w:val="center"/>
            </w:pPr>
            <w:r>
              <w:rPr>
                <w:rFonts w:ascii="Open Sans" w:cs="Open Sans" w:eastAsia="Open Sans" w:hAnsi="Open Sans"/>
                <w:b/>
                <w:bCs/>
                <w:color w:val="FFFFFF"/>
                <w:sz w:val="18"/>
                <w:szCs w:val="18"/>
              </w:rPr>
              <w:t xml:space="preserve">Payment Due</w:t>
            </w:r>
          </w:p>
        </w:tc>
        <w:tc>
          <w:tcPr>
            <w:tcW w:type="dxa" w:w="3120"/>
            <w:tcBorders>
              <w:top w:val="none"/>
              <w:left w:val="none"/>
              <w:bottom w:val="none"/>
              <w:right w:val="none"/>
            </w:tcBorders>
            <w:shd w:fill="006DB6" w:val="clear"/>
            <w:tcMar>
              <w:top w:type="dxa" w:w="80"/>
              <w:left w:type="dxa" w:w="120"/>
              <w:bottom w:type="dxa" w:w="80"/>
              <w:right w:type="dxa" w:w="120"/>
            </w:tcMar>
          </w:tcPr>
          <w:p>
            <w:pPr>
              <w:jc w:val="center"/>
            </w:pPr>
            <w:r>
              <w:rPr>
                <w:rFonts w:ascii="Open Sans" w:cs="Open Sans" w:eastAsia="Open Sans" w:hAnsi="Open Sans"/>
                <w:b/>
                <w:bCs/>
                <w:color w:val="FFFFFF"/>
                <w:sz w:val="18"/>
                <w:szCs w:val="18"/>
              </w:rPr>
              <w:t xml:space="preserve">Late Interest</w:t>
            </w:r>
          </w:p>
        </w:tc>
        <w:tc>
          <w:tcPr>
            <w:tcW w:type="dxa" w:w="3120"/>
            <w:tcBorders>
              <w:top w:val="none"/>
              <w:left w:val="none"/>
              <w:bottom w:val="none"/>
              <w:right w:val="none"/>
            </w:tcBorders>
            <w:shd w:fill="006DB6" w:val="clear"/>
            <w:tcMar>
              <w:top w:type="dxa" w:w="80"/>
              <w:left w:type="dxa" w:w="120"/>
              <w:bottom w:type="dxa" w:w="80"/>
              <w:right w:type="dxa" w:w="120"/>
            </w:tcMar>
          </w:tcPr>
          <w:p>
            <w:pPr>
              <w:jc w:val="center"/>
            </w:pPr>
            <w:r>
              <w:rPr>
                <w:rFonts w:ascii="Open Sans" w:cs="Open Sans" w:eastAsia="Open Sans" w:hAnsi="Open Sans"/>
                <w:b/>
                <w:bCs/>
                <w:color w:val="FFFFFF"/>
                <w:sz w:val="18"/>
                <w:szCs w:val="18"/>
              </w:rPr>
              <w:t xml:space="preserve">Tax Responsibility</w:t>
            </w:r>
          </w:p>
        </w:tc>
      </w:tr>
      <w:tr>
        <w:tc>
          <w:tcPr>
            <w:tcW w:type="dxa" w:w="3120"/>
            <w:tcBorders>
              <w:top w:val="none"/>
              <w:left w:val="none"/>
              <w:bottom w:val="none"/>
              <w:right w:val="none"/>
            </w:tcBorders>
            <w:shd w:fill="F8F9FA" w:val="clear"/>
            <w:tcMar>
              <w:top w:type="dxa" w:w="80"/>
              <w:left w:type="dxa" w:w="120"/>
              <w:bottom w:type="dxa" w:w="80"/>
              <w:right w:type="dxa" w:w="120"/>
            </w:tcMar>
          </w:tcPr>
          <w:p>
            <w:pPr>
              <w:jc w:val="center"/>
            </w:pPr>
            <w:r>
              <w:rPr>
                <w:rFonts w:ascii="Open Sans" w:cs="Open Sans" w:eastAsia="Open Sans" w:hAnsi="Open Sans"/>
                <w:b/>
                <w:bCs/>
                <w:color w:val="006DB6"/>
                <w:sz w:val="28"/>
                <w:szCs w:val="28"/>
              </w:rPr>
              <w:t xml:space="preserve">Net 30</w:t>
            </w:r>
          </w:p>
          <w:p>
            <w:pPr>
              <w:jc w:val="center"/>
            </w:pPr>
            <w:r>
              <w:rPr>
                <w:rFonts w:ascii="Open Sans" w:cs="Open Sans" w:eastAsia="Open Sans" w:hAnsi="Open Sans"/>
                <w:color w:val="59595B"/>
                <w:sz w:val="16"/>
                <w:szCs w:val="16"/>
              </w:rPr>
              <w:t xml:space="preserve">From invoice date</w:t>
            </w:r>
          </w:p>
        </w:tc>
        <w:tc>
          <w:tcPr>
            <w:tcW w:type="dxa" w:w="3120"/>
            <w:tcBorders>
              <w:top w:val="none"/>
              <w:left w:val="none"/>
              <w:bottom w:val="none"/>
              <w:right w:val="none"/>
            </w:tcBorders>
            <w:shd w:fill="F8F9FA" w:val="clear"/>
            <w:tcMar>
              <w:top w:type="dxa" w:w="80"/>
              <w:left w:type="dxa" w:w="120"/>
              <w:bottom w:type="dxa" w:w="80"/>
              <w:right w:type="dxa" w:w="120"/>
            </w:tcMar>
          </w:tcPr>
          <w:p>
            <w:pPr>
              <w:jc w:val="center"/>
            </w:pPr>
            <w:r>
              <w:rPr>
                <w:rFonts w:ascii="Open Sans" w:cs="Open Sans" w:eastAsia="Open Sans" w:hAnsi="Open Sans"/>
                <w:b/>
                <w:bCs/>
                <w:color w:val="006DB6"/>
                <w:sz w:val="28"/>
                <w:szCs w:val="28"/>
              </w:rPr>
              <w:t xml:space="preserve">1.5%</w:t>
            </w:r>
          </w:p>
          <w:p>
            <w:pPr>
              <w:jc w:val="center"/>
            </w:pPr>
            <w:r>
              <w:rPr>
                <w:rFonts w:ascii="Open Sans" w:cs="Open Sans" w:eastAsia="Open Sans" w:hAnsi="Open Sans"/>
                <w:color w:val="59595B"/>
                <w:sz w:val="16"/>
                <w:szCs w:val="16"/>
              </w:rPr>
              <w:t xml:space="preserve">Per month on overdue</w:t>
            </w:r>
          </w:p>
        </w:tc>
        <w:tc>
          <w:tcPr>
            <w:tcW w:type="dxa" w:w="3120"/>
            <w:tcBorders>
              <w:top w:val="none"/>
              <w:left w:val="none"/>
              <w:bottom w:val="none"/>
              <w:right w:val="none"/>
            </w:tcBorders>
            <w:shd w:fill="F8F9FA" w:val="clear"/>
            <w:tcMar>
              <w:top w:type="dxa" w:w="80"/>
              <w:left w:type="dxa" w:w="120"/>
              <w:bottom w:type="dxa" w:w="80"/>
              <w:right w:type="dxa" w:w="120"/>
            </w:tcMar>
          </w:tcPr>
          <w:p>
            <w:pPr>
              <w:jc w:val="center"/>
            </w:pPr>
            <w:r>
              <w:rPr>
                <w:rFonts w:ascii="Open Sans" w:cs="Open Sans" w:eastAsia="Open Sans" w:hAnsi="Open Sans"/>
                <w:b/>
                <w:bCs/>
                <w:color w:val="006DB6"/>
                <w:sz w:val="28"/>
                <w:szCs w:val="28"/>
              </w:rPr>
              <w:t xml:space="preserve">Client</w:t>
            </w:r>
          </w:p>
          <w:p>
            <w:pPr>
              <w:jc w:val="center"/>
            </w:pPr>
            <w:r>
              <w:rPr>
                <w:rFonts w:ascii="Open Sans" w:cs="Open Sans" w:eastAsia="Open Sans" w:hAnsi="Open Sans"/>
                <w:color w:val="59595B"/>
                <w:sz w:val="16"/>
                <w:szCs w:val="16"/>
              </w:rPr>
              <w:t xml:space="preserve">All applicable taxes</w:t>
            </w:r>
          </w:p>
        </w:tc>
      </w:tr>
    </w:tbl>
    <w:p>
      <w:pPr>
        <w:spacing w:before="120"/>
      </w:pPr>
    </w:p>
    <w:p>
      <w:pPr>
        <w:spacing w:after="120"/>
      </w:pPr>
      <w:r>
        <w:rPr>
          <w:rFonts w:ascii="Open Sans" w:cs="Open Sans" w:eastAsia="Open Sans" w:hAnsi="Open Sans"/>
          <w:color w:val="59595B"/>
          <w:sz w:val="22"/>
          <w:szCs w:val="22"/>
        </w:rPr>
        <w:t xml:space="preserve">Invoices are due Net 30 from the date of invoice. Late payments bear interest at 1.5% per month or the maximum rate permitted by law, whichever is less. Fees do not include taxes. Client is responsible for all applicable sales, use, and other taxes, excluding taxes based on Provider’s income.</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5. SERVICE LEVELS</w:t>
            </w:r>
          </w:p>
        </w:tc>
      </w:tr>
    </w:tbl>
    <w:p>
      <w:pPr>
        <w:spacing w:after="120"/>
      </w:pPr>
      <w:r>
        <w:rPr>
          <w:rFonts w:ascii="Open Sans" w:cs="Open Sans" w:eastAsia="Open Sans" w:hAnsi="Open Sans"/>
          <w:color w:val="59595B"/>
          <w:sz w:val="22"/>
          <w:szCs w:val="22"/>
        </w:rPr>
        <w:t xml:space="preserve">Provider will use commercially reasonable efforts to meet the service levels defined in the applicable SOW or SLA exhibit. Service credits, if any, are the Client’s sole remedy for failure to meet service levels.</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6. CLIENT RESPONSIBILITIES</w:t>
            </w:r>
          </w:p>
        </w:tc>
      </w:tr>
    </w:tbl>
    <w:p>
      <w:pPr>
        <w:spacing w:after="120"/>
      </w:pPr>
      <w:r>
        <w:rPr>
          <w:rFonts w:ascii="Open Sans" w:cs="Open Sans" w:eastAsia="Open Sans" w:hAnsi="Open Sans"/>
          <w:color w:val="59595B"/>
          <w:sz w:val="22"/>
          <w:szCs w:val="22"/>
        </w:rPr>
        <w:t xml:space="preserve">Client will:</w:t>
      </w:r>
    </w:p>
    <w:p>
      <w:pPr>
        <w:pStyle w:val="ListParagraph"/>
        <w:numPr>
          <w:ilvl w:val="0"/>
          <w:numId w:val="2"/>
        </w:numPr>
        <w:spacing w:after="60"/>
      </w:pPr>
      <w:r>
        <w:rPr>
          <w:color w:val="59595B"/>
          <w:sz w:val="22"/>
          <w:szCs w:val="22"/>
        </w:rPr>
        <w:t xml:space="preserve">Provide timely access to systems, facilities, and personnel as reasonably required</w:t>
      </w:r>
    </w:p>
    <w:p>
      <w:pPr>
        <w:pStyle w:val="ListParagraph"/>
        <w:numPr>
          <w:ilvl w:val="0"/>
          <w:numId w:val="2"/>
        </w:numPr>
        <w:spacing w:after="60"/>
      </w:pPr>
      <w:r>
        <w:rPr>
          <w:color w:val="59595B"/>
          <w:sz w:val="22"/>
          <w:szCs w:val="22"/>
        </w:rPr>
        <w:t xml:space="preserve">Designate a primary point of contact for service requests and communications</w:t>
      </w:r>
    </w:p>
    <w:p>
      <w:pPr>
        <w:pStyle w:val="ListParagraph"/>
        <w:numPr>
          <w:ilvl w:val="0"/>
          <w:numId w:val="2"/>
        </w:numPr>
        <w:spacing w:after="60"/>
      </w:pPr>
      <w:r>
        <w:rPr>
          <w:color w:val="59595B"/>
          <w:sz w:val="22"/>
          <w:szCs w:val="22"/>
        </w:rPr>
        <w:t xml:space="preserve">Maintain accurate and current documentation of its IT environment</w:t>
      </w:r>
    </w:p>
    <w:p>
      <w:pPr>
        <w:pStyle w:val="ListParagraph"/>
        <w:numPr>
          <w:ilvl w:val="0"/>
          <w:numId w:val="2"/>
        </w:numPr>
        <w:spacing w:after="60"/>
      </w:pPr>
      <w:r>
        <w:rPr>
          <w:color w:val="59595B"/>
          <w:sz w:val="22"/>
          <w:szCs w:val="22"/>
        </w:rPr>
        <w:t xml:space="preserve">Promptly notify Provider of any changes that may affect the Services</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7. CONFIDENTIALITY</w:t>
            </w:r>
          </w:p>
        </w:tc>
      </w:tr>
    </w:tbl>
    <w:p>
      <w:pPr>
        <w:spacing w:after="120"/>
      </w:pPr>
      <w:r>
        <w:rPr>
          <w:rFonts w:ascii="Open Sans" w:cs="Open Sans" w:eastAsia="Open Sans" w:hAnsi="Open Sans"/>
          <w:color w:val="59595B"/>
          <w:sz w:val="22"/>
          <w:szCs w:val="22"/>
        </w:rPr>
        <w:t xml:space="preserve">Each party agrees to hold the other party’s Confidential Information in strict confidence and not to disclose it to any third party except as necessary to perform its obligations under this Agreement. This obligation survives termination for a period of [3] years.</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8. INTELLECTUAL PROPERTY</w:t>
            </w:r>
          </w:p>
        </w:tc>
      </w:tr>
    </w:tbl>
    <w:p>
      <w:pPr>
        <w:spacing w:after="100" w:before="240"/>
      </w:pPr>
      <w:r>
        <w:rPr>
          <w:rFonts w:ascii="Open Sans" w:cs="Open Sans" w:eastAsia="Open Sans" w:hAnsi="Open Sans"/>
          <w:b/>
          <w:bCs/>
          <w:color w:val="1A1A2E"/>
          <w:sz w:val="24"/>
          <w:szCs w:val="24"/>
        </w:rPr>
        <w:t xml:space="preserve">8.1 Work Product</w:t>
      </w:r>
    </w:p>
    <w:p>
      <w:pPr>
        <w:spacing w:after="120"/>
      </w:pPr>
      <w:r>
        <w:rPr>
          <w:rFonts w:ascii="Open Sans" w:cs="Open Sans" w:eastAsia="Open Sans" w:hAnsi="Open Sans"/>
          <w:color w:val="59595B"/>
          <w:sz w:val="22"/>
          <w:szCs w:val="22"/>
        </w:rPr>
        <w:t xml:space="preserve">All deliverables created by Provider specifically for Client under a SOW (“Work Product”) are owned by Client upon full payment. Provider retains ownership of all pre-existing intellectual property, tools, and methodologies.</w:t>
      </w:r>
    </w:p>
    <w:p>
      <w:pPr>
        <w:spacing w:after="100" w:before="240"/>
      </w:pPr>
      <w:r>
        <w:rPr>
          <w:rFonts w:ascii="Open Sans" w:cs="Open Sans" w:eastAsia="Open Sans" w:hAnsi="Open Sans"/>
          <w:b/>
          <w:bCs/>
          <w:color w:val="1A1A2E"/>
          <w:sz w:val="24"/>
          <w:szCs w:val="24"/>
        </w:rPr>
        <w:t xml:space="preserve">8.2 License</w:t>
      </w:r>
    </w:p>
    <w:p>
      <w:pPr>
        <w:spacing w:after="120"/>
      </w:pPr>
      <w:r>
        <w:rPr>
          <w:rFonts w:ascii="Open Sans" w:cs="Open Sans" w:eastAsia="Open Sans" w:hAnsi="Open Sans"/>
          <w:color w:val="59595B"/>
          <w:sz w:val="22"/>
          <w:szCs w:val="22"/>
        </w:rPr>
        <w:t xml:space="preserve">Provider grants Client a non-exclusive, perpetual license to use any Provider pre-existing IP incorporated into the Work Product, solely in connection with Client’s use of the Work Product.</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9. LIMITATION OF LIABILITY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7D4B" w:sz="2"/>
              <w:left w:val="single" w:color="F67D4B" w:sz="6"/>
              <w:bottom w:val="single" w:color="F67D4B" w:sz="2"/>
              <w:right w:val="single" w:color="F67D4B" w:sz="2"/>
            </w:tcBorders>
            <w:shd w:fill="FEF3EE" w:val="clear"/>
            <w:tcMar>
              <w:top w:type="dxa" w:w="120"/>
              <w:left w:type="dxa" w:w="200"/>
              <w:bottom w:type="dxa" w:w="120"/>
              <w:right w:type="dxa" w:w="200"/>
            </w:tcMar>
          </w:tcPr>
          <w:p>
            <w:r>
              <w:rPr>
                <w:rFonts w:ascii="Open Sans" w:cs="Open Sans" w:eastAsia="Open Sans" w:hAnsi="Open Sans"/>
                <w:color w:val="1A1A2E"/>
                <w:sz w:val="20"/>
                <w:szCs w:val="20"/>
              </w:rPr>
              <w:t xml:space="preserve">EXCEPT FOR BREACHES OF CONFIDENTIALITY OR INDEMNIFICATION OBLIGATIONS, NEITHER PARTY’S TOTAL LIABILITY UNDER THIS AGREEMENT WILL EXCEED THE FEES PAID BY CLIENT IN THE [12] MONTHS PRECEDING THE CLAIM. NEITHER PARTY WILL BE LIABLE FOR INDIRECT, INCIDENTAL, CONSEQUENTIAL, OR PUNITIVE DAMAGES.</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10. INDEMNIFICATION</w:t>
            </w:r>
          </w:p>
        </w:tc>
      </w:tr>
    </w:tbl>
    <w:p>
      <w:pPr>
        <w:spacing w:after="120"/>
      </w:pPr>
      <w:r>
        <w:rPr>
          <w:rFonts w:ascii="Open Sans" w:cs="Open Sans" w:eastAsia="Open Sans" w:hAnsi="Open Sans"/>
          <w:color w:val="59595B"/>
          <w:sz w:val="22"/>
          <w:szCs w:val="22"/>
        </w:rPr>
        <w:t xml:space="preserve">Each party will indemnify, defend, and hold harmless the other party from and against any third-party claims arising from: (a) the indemnifying party’s breach of this Agreement, or (b) the indemnifying party’s negligence or willful misconduct.</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11. TERMINATION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EAAC8" w:sz="2"/>
              <w:left w:val="single" w:color="E9ECEF" w:sz="1"/>
              <w:bottom w:val="single" w:color="E9ECEF" w:sz="1"/>
              <w:right w:val="single" w:color="E9ECEF" w:sz="1"/>
            </w:tcBorders>
            <w:tcMar>
              <w:top w:type="dxa" w:w="100"/>
              <w:left w:type="dxa" w:w="120"/>
              <w:bottom w:type="dxa" w:w="100"/>
              <w:right w:type="dxa" w:w="120"/>
            </w:tcMar>
          </w:tcPr>
          <w:p>
            <w:r>
              <w:rPr>
                <w:rFonts w:ascii="Open Sans" w:cs="Open Sans" w:eastAsia="Open Sans" w:hAnsi="Open Sans"/>
                <w:b/>
                <w:bCs/>
                <w:color w:val="1EAAC8"/>
                <w:sz w:val="20"/>
                <w:szCs w:val="20"/>
              </w:rPr>
              <w:t xml:space="preserve">For Cause</w:t>
            </w:r>
          </w:p>
          <w:p>
            <w:pPr>
              <w:spacing w:before="60"/>
            </w:pPr>
            <w:r>
              <w:rPr>
                <w:rFonts w:ascii="Open Sans" w:cs="Open Sans" w:eastAsia="Open Sans" w:hAnsi="Open Sans"/>
                <w:color w:val="59595B"/>
                <w:sz w:val="18"/>
                <w:szCs w:val="18"/>
              </w:rPr>
              <w:t xml:space="preserve">[30] days written notice if material breach remains uncured</w:t>
            </w:r>
          </w:p>
        </w:tc>
        <w:tc>
          <w:tcPr>
            <w:tcW w:type="dxa" w:w="3120"/>
            <w:tcBorders>
              <w:top w:val="single" w:color="1EAAC8" w:sz="2"/>
              <w:left w:val="single" w:color="E9ECEF" w:sz="1"/>
              <w:bottom w:val="single" w:color="E9ECEF" w:sz="1"/>
              <w:right w:val="single" w:color="E9ECEF" w:sz="1"/>
            </w:tcBorders>
            <w:tcMar>
              <w:top w:type="dxa" w:w="100"/>
              <w:left w:type="dxa" w:w="120"/>
              <w:bottom w:type="dxa" w:w="100"/>
              <w:right w:type="dxa" w:w="120"/>
            </w:tcMar>
          </w:tcPr>
          <w:p>
            <w:r>
              <w:rPr>
                <w:rFonts w:ascii="Open Sans" w:cs="Open Sans" w:eastAsia="Open Sans" w:hAnsi="Open Sans"/>
                <w:b/>
                <w:bCs/>
                <w:color w:val="1EAAC8"/>
                <w:sz w:val="20"/>
                <w:szCs w:val="20"/>
              </w:rPr>
              <w:t xml:space="preserve">For Convenience</w:t>
            </w:r>
          </w:p>
          <w:p>
            <w:pPr>
              <w:spacing w:before="60"/>
            </w:pPr>
            <w:r>
              <w:rPr>
                <w:rFonts w:ascii="Open Sans" w:cs="Open Sans" w:eastAsia="Open Sans" w:hAnsi="Open Sans"/>
                <w:color w:val="59595B"/>
                <w:sz w:val="18"/>
                <w:szCs w:val="18"/>
              </w:rPr>
              <w:t xml:space="preserve">[90] days written notice for any reason</w:t>
            </w:r>
          </w:p>
        </w:tc>
        <w:tc>
          <w:tcPr>
            <w:tcW w:type="dxa" w:w="3120"/>
            <w:tcBorders>
              <w:top w:val="single" w:color="1EAAC8" w:sz="2"/>
              <w:left w:val="single" w:color="E9ECEF" w:sz="1"/>
              <w:bottom w:val="single" w:color="E9ECEF" w:sz="1"/>
              <w:right w:val="single" w:color="E9ECEF" w:sz="1"/>
            </w:tcBorders>
            <w:tcMar>
              <w:top w:type="dxa" w:w="100"/>
              <w:left w:type="dxa" w:w="120"/>
              <w:bottom w:type="dxa" w:w="100"/>
              <w:right w:type="dxa" w:w="120"/>
            </w:tcMar>
          </w:tcPr>
          <w:p>
            <w:r>
              <w:rPr>
                <w:rFonts w:ascii="Open Sans" w:cs="Open Sans" w:eastAsia="Open Sans" w:hAnsi="Open Sans"/>
                <w:b/>
                <w:bCs/>
                <w:color w:val="1EAAC8"/>
                <w:sz w:val="20"/>
                <w:szCs w:val="20"/>
              </w:rPr>
              <w:t xml:space="preserve">Transition</w:t>
            </w:r>
          </w:p>
          <w:p>
            <w:pPr>
              <w:spacing w:before="60"/>
            </w:pPr>
            <w:r>
              <w:rPr>
                <w:rFonts w:ascii="Open Sans" w:cs="Open Sans" w:eastAsia="Open Sans" w:hAnsi="Open Sans"/>
                <w:color w:val="59595B"/>
                <w:sz w:val="18"/>
                <w:szCs w:val="18"/>
              </w:rPr>
              <w:t xml:space="preserve">[30] days transition assistance at standard rates</w:t>
            </w:r>
          </w:p>
        </w:tc>
      </w:tr>
    </w:tbl>
    <w:p>
      <w:pPr>
        <w:spacing w:before="120"/>
      </w:pPr>
    </w:p>
    <w:p>
      <w:pPr>
        <w:spacing w:after="120"/>
      </w:pPr>
      <w:r>
        <w:rPr>
          <w:rFonts w:ascii="Open Sans" w:cs="Open Sans" w:eastAsia="Open Sans" w:hAnsi="Open Sans"/>
          <w:color w:val="59595B"/>
          <w:sz w:val="22"/>
          <w:szCs w:val="22"/>
        </w:rPr>
        <w:t xml:space="preserve">Upon termination, Client will pay all fees for Services rendered through the termination date.</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12. DISPUTE RESOLUTION</w:t>
            </w:r>
          </w:p>
        </w:tc>
      </w:tr>
    </w:tbl>
    <w:p>
      <w:pPr>
        <w:spacing w:after="120"/>
      </w:pPr>
      <w:r>
        <w:rPr>
          <w:rFonts w:ascii="Open Sans" w:cs="Open Sans" w:eastAsia="Open Sans" w:hAnsi="Open Sans"/>
          <w:color w:val="59595B"/>
          <w:sz w:val="22"/>
          <w:szCs w:val="22"/>
        </w:rPr>
        <w:t xml:space="preserve">This Agreement is governed by the laws of the State of California. The parties will attempt to resolve disputes through good-faith negotiation. If unresolved after [30] days, disputes will be submitted to binding arbitration in Orange County, California.</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13. GENERAL PROVISIONS</w:t>
            </w:r>
          </w:p>
        </w:tc>
      </w:tr>
    </w:tbl>
    <w:p>
      <w:pPr>
        <w:spacing w:after="120"/>
      </w:pPr>
      <w:r>
        <w:rPr>
          <w:rFonts w:ascii="Open Sans" w:cs="Open Sans" w:eastAsia="Open Sans" w:hAnsi="Open Sans"/>
          <w:color w:val="59595B"/>
          <w:sz w:val="22"/>
          <w:szCs w:val="22"/>
        </w:rPr>
        <w:t xml:space="preserve">This Agreement constitutes the entire agreement between the parties regarding its subject matter. Amendments must be in writing and signed by both parties. Neither party may assign this Agreement without the other’s written consent. Failure to enforce any provision is not a waiver of that provision.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14. SIGNATURES</w:t>
            </w:r>
          </w:p>
        </w:tc>
      </w:tr>
    </w:tbl>
    <w:p>
      <w:pPr>
        <w:spacing w:before="120"/>
      </w:pPr>
    </w:p>
    <w:p>
      <w:pPr>
        <w:spacing w:after="120"/>
      </w:pPr>
      <w:r>
        <w:rPr>
          <w:rFonts w:ascii="Open Sans" w:cs="Open Sans" w:eastAsia="Open Sans" w:hAnsi="Open Sans"/>
          <w:color w:val="59595B"/>
          <w:sz w:val="22"/>
          <w:szCs w:val="22"/>
        </w:rPr>
        <w:t xml:space="preserve">IN WITNESS WHEREOF, the parties have executed this Agreement as of the Effective Date.</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Mar>
              <w:top w:type="dxa" w:w="0"/>
              <w:left w:type="dxa" w:w="0"/>
              <w:bottom w:type="dxa" w:w="80"/>
              <w:right w:type="dxa" w:w="120"/>
            </w:tcMar>
          </w:tcPr>
          <w:p>
            <w:pPr>
              <w:spacing w:after="0"/>
            </w:pPr>
          </w:p>
          <w:tbl>
            <w:tblPr>
              <w:tblW w:type="dxa" w:w="4560"/>
              <w:tblBorders>
                <w:top w:val="single" w:color="auto" w:sz="4"/>
                <w:left w:val="single" w:color="auto" w:sz="4"/>
                <w:bottom w:val="single" w:color="auto" w:sz="4"/>
                <w:right w:val="single" w:color="auto" w:sz="4"/>
                <w:insideH w:val="single" w:color="auto" w:sz="4"/>
                <w:insideV w:val="single" w:color="auto" w:sz="4"/>
              </w:tblBorders>
            </w:tblPr>
            <w:tblGrid>
              <w:gridCol w:w="4560"/>
            </w:tblGrid>
            <w:tr>
              <w:tc>
                <w:tcPr>
                  <w:tcW w:type="dxa" w:w="4560"/>
                  <w:tcBorders>
                    <w:top w:val="none"/>
                    <w:left w:val="none"/>
                    <w:bottom w:val="none"/>
                    <w:right w:val="none"/>
                  </w:tcBorders>
                  <w:shd w:fill="1A1A2E" w:val="clear"/>
                  <w:tcMar>
                    <w:top w:type="dxa" w:w="60"/>
                    <w:left w:type="dxa" w:w="120"/>
                    <w:bottom w:type="dxa" w:w="60"/>
                    <w:right w:type="dxa" w:w="120"/>
                  </w:tcMar>
                </w:tcPr>
                <w:p>
                  <w:r>
                    <w:rPr>
                      <w:rFonts w:ascii="Open Sans" w:cs="Open Sans" w:eastAsia="Open Sans" w:hAnsi="Open Sans"/>
                      <w:b/>
                      <w:bCs/>
                      <w:color w:val="FFFFFF"/>
                      <w:sz w:val="20"/>
                      <w:szCs w:val="20"/>
                    </w:rPr>
                    <w:t xml:space="preserve">PROVIDER: Technijian</w:t>
                  </w:r>
                </w:p>
              </w:tc>
            </w:tr>
          </w:tbl>
          <w:p>
            <w:pPr>
              <w:pBdr>
                <w:bottom w:val="single" w:color="1A1A2E" w:sz="1" w:space="4"/>
              </w:pBdr>
              <w:spacing w:after="40" w:before="400"/>
            </w:pPr>
            <w:r>
              <w:rPr>
                <w:sz w:val="22"/>
                <w:szCs w:val="22"/>
              </w:rPr>
              <w:t xml:space="preserve"> </w:t>
            </w:r>
          </w:p>
          <w:p>
            <w:pPr>
              <w:spacing w:after="40"/>
            </w:pPr>
            <w:r>
              <w:rPr>
                <w:i/>
                <w:iCs/>
                <w:color w:val="59595B"/>
                <w:sz w:val="18"/>
                <w:szCs w:val="18"/>
              </w:rPr>
              <w:t xml:space="preserve">Signature</w:t>
            </w:r>
          </w:p>
          <w:p>
            <w:pPr>
              <w:pBdr>
                <w:bottom w:val="single" w:color="E9ECEF" w:sz="1" w:space="4"/>
              </w:pBdr>
              <w:spacing w:after="40" w:before="200"/>
            </w:pPr>
            <w:r>
              <w:rPr>
                <w:sz w:val="22"/>
                <w:szCs w:val="22"/>
              </w:rPr>
              <w:t xml:space="preserve"> </w:t>
            </w:r>
          </w:p>
          <w:p>
            <w:pPr>
              <w:spacing w:after="40"/>
            </w:pPr>
            <w:r>
              <w:rPr>
                <w:i/>
                <w:iCs/>
                <w:color w:val="59595B"/>
                <w:sz w:val="18"/>
                <w:szCs w:val="18"/>
              </w:rPr>
              <w:t xml:space="preserve">Printed Name</w:t>
            </w:r>
          </w:p>
          <w:p>
            <w:pPr>
              <w:pBdr>
                <w:bottom w:val="single" w:color="E9ECEF" w:sz="1" w:space="4"/>
              </w:pBdr>
              <w:spacing w:after="40" w:before="200"/>
            </w:pPr>
            <w:r>
              <w:rPr>
                <w:sz w:val="22"/>
                <w:szCs w:val="22"/>
              </w:rPr>
              <w:t xml:space="preserve"> </w:t>
            </w:r>
          </w:p>
          <w:p>
            <w:pPr>
              <w:spacing w:after="40"/>
            </w:pPr>
            <w:r>
              <w:rPr>
                <w:i/>
                <w:iCs/>
                <w:color w:val="59595B"/>
                <w:sz w:val="18"/>
                <w:szCs w:val="18"/>
              </w:rPr>
              <w:t xml:space="preserve">Title</w:t>
            </w:r>
          </w:p>
          <w:p>
            <w:pPr>
              <w:pBdr>
                <w:bottom w:val="single" w:color="E9ECEF" w:sz="1" w:space="4"/>
              </w:pBdr>
              <w:spacing w:after="40" w:before="200"/>
            </w:pPr>
            <w:r>
              <w:rPr>
                <w:sz w:val="22"/>
                <w:szCs w:val="22"/>
              </w:rPr>
              <w:t xml:space="preserve"> </w:t>
            </w:r>
          </w:p>
          <w:p>
            <w:r>
              <w:rPr>
                <w:i/>
                <w:iCs/>
                <w:color w:val="59595B"/>
                <w:sz w:val="18"/>
                <w:szCs w:val="18"/>
              </w:rPr>
              <w:t xml:space="preserve">Date</w:t>
            </w:r>
          </w:p>
        </w:tc>
        <w:tc>
          <w:tcPr>
            <w:tcW w:type="dxa" w:w="4680"/>
            <w:tcBorders>
              <w:top w:val="none"/>
              <w:left w:val="none"/>
              <w:bottom w:val="none"/>
              <w:right w:val="none"/>
            </w:tcBorders>
            <w:tcMar>
              <w:top w:type="dxa" w:w="0"/>
              <w:left w:type="dxa" w:w="0"/>
              <w:bottom w:type="dxa" w:w="80"/>
              <w:right w:type="dxa" w:w="120"/>
            </w:tcMar>
          </w:tcPr>
          <w:p>
            <w:pPr>
              <w:spacing w:after="0"/>
            </w:pPr>
          </w:p>
          <w:tbl>
            <w:tblPr>
              <w:tblW w:type="dxa" w:w="4560"/>
              <w:tblBorders>
                <w:top w:val="single" w:color="auto" w:sz="4"/>
                <w:left w:val="single" w:color="auto" w:sz="4"/>
                <w:bottom w:val="single" w:color="auto" w:sz="4"/>
                <w:right w:val="single" w:color="auto" w:sz="4"/>
                <w:insideH w:val="single" w:color="auto" w:sz="4"/>
                <w:insideV w:val="single" w:color="auto" w:sz="4"/>
              </w:tblBorders>
            </w:tblPr>
            <w:tblGrid>
              <w:gridCol w:w="4560"/>
            </w:tblGrid>
            <w:tr>
              <w:tc>
                <w:tcPr>
                  <w:tcW w:type="dxa" w:w="4560"/>
                  <w:tcBorders>
                    <w:top w:val="none"/>
                    <w:left w:val="none"/>
                    <w:bottom w:val="none"/>
                    <w:right w:val="none"/>
                  </w:tcBorders>
                  <w:shd w:fill="1A1A2E" w:val="clear"/>
                  <w:tcMar>
                    <w:top w:type="dxa" w:w="60"/>
                    <w:left w:type="dxa" w:w="120"/>
                    <w:bottom w:type="dxa" w:w="60"/>
                    <w:right w:type="dxa" w:w="120"/>
                  </w:tcMar>
                </w:tcPr>
                <w:p>
                  <w:r>
                    <w:rPr>
                      <w:rFonts w:ascii="Open Sans" w:cs="Open Sans" w:eastAsia="Open Sans" w:hAnsi="Open Sans"/>
                      <w:b/>
                      <w:bCs/>
                      <w:color w:val="FFFFFF"/>
                      <w:sz w:val="20"/>
                      <w:szCs w:val="20"/>
                    </w:rPr>
                    <w:t xml:space="preserve">CLIENT: [Client Name]</w:t>
                  </w:r>
                </w:p>
              </w:tc>
            </w:tr>
          </w:tbl>
          <w:p>
            <w:pPr>
              <w:pBdr>
                <w:bottom w:val="single" w:color="1A1A2E" w:sz="1" w:space="4"/>
              </w:pBdr>
              <w:spacing w:after="40" w:before="400"/>
            </w:pPr>
            <w:r>
              <w:rPr>
                <w:sz w:val="22"/>
                <w:szCs w:val="22"/>
              </w:rPr>
              <w:t xml:space="preserve"> </w:t>
            </w:r>
          </w:p>
          <w:p>
            <w:pPr>
              <w:spacing w:after="40"/>
            </w:pPr>
            <w:r>
              <w:rPr>
                <w:i/>
                <w:iCs/>
                <w:color w:val="59595B"/>
                <w:sz w:val="18"/>
                <w:szCs w:val="18"/>
              </w:rPr>
              <w:t xml:space="preserve">Signature</w:t>
            </w:r>
          </w:p>
          <w:p>
            <w:pPr>
              <w:pBdr>
                <w:bottom w:val="single" w:color="E9ECEF" w:sz="1" w:space="4"/>
              </w:pBdr>
              <w:spacing w:after="40" w:before="200"/>
            </w:pPr>
            <w:r>
              <w:rPr>
                <w:sz w:val="22"/>
                <w:szCs w:val="22"/>
              </w:rPr>
              <w:t xml:space="preserve"> </w:t>
            </w:r>
          </w:p>
          <w:p>
            <w:pPr>
              <w:spacing w:after="40"/>
            </w:pPr>
            <w:r>
              <w:rPr>
                <w:i/>
                <w:iCs/>
                <w:color w:val="59595B"/>
                <w:sz w:val="18"/>
                <w:szCs w:val="18"/>
              </w:rPr>
              <w:t xml:space="preserve">Printed Name</w:t>
            </w:r>
          </w:p>
          <w:p>
            <w:pPr>
              <w:pBdr>
                <w:bottom w:val="single" w:color="E9ECEF" w:sz="1" w:space="4"/>
              </w:pBdr>
              <w:spacing w:after="40" w:before="200"/>
            </w:pPr>
            <w:r>
              <w:rPr>
                <w:sz w:val="22"/>
                <w:szCs w:val="22"/>
              </w:rPr>
              <w:t xml:space="preserve"> </w:t>
            </w:r>
          </w:p>
          <w:p>
            <w:pPr>
              <w:spacing w:after="40"/>
            </w:pPr>
            <w:r>
              <w:rPr>
                <w:i/>
                <w:iCs/>
                <w:color w:val="59595B"/>
                <w:sz w:val="18"/>
                <w:szCs w:val="18"/>
              </w:rPr>
              <w:t xml:space="preserve">Title</w:t>
            </w:r>
          </w:p>
          <w:p>
            <w:pPr>
              <w:pBdr>
                <w:bottom w:val="single" w:color="E9ECEF" w:sz="1" w:space="4"/>
              </w:pBdr>
              <w:spacing w:after="40" w:before="200"/>
            </w:pPr>
            <w:r>
              <w:rPr>
                <w:sz w:val="22"/>
                <w:szCs w:val="22"/>
              </w:rPr>
              <w:t xml:space="preserve"> </w:t>
            </w:r>
          </w:p>
          <w:p>
            <w:r>
              <w:rPr>
                <w:i/>
                <w:iCs/>
                <w:color w:val="59595B"/>
                <w:sz w:val="18"/>
                <w:szCs w:val="18"/>
              </w:rPr>
              <w:t xml:space="preserve">Date</w:t>
            </w:r>
          </w:p>
        </w:tc>
      </w:tr>
    </w:tbl>
    <w:p>
      <w:pPr>
        <w:spacing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06DB6" w:val="clear"/>
            <w:tcMar>
              <w:top w:type="dxa" w:w="120"/>
              <w:left w:type="dxa" w:w="200"/>
              <w:bottom w:type="dxa" w:w="120"/>
              <w:right w:type="dxa" w:w="200"/>
            </w:tcMar>
          </w:tcPr>
          <w:p>
            <w:pPr>
              <w:jc w:val="center"/>
            </w:pPr>
            <w:r>
              <w:rPr>
                <w:rFonts w:ascii="Open Sans" w:cs="Open Sans" w:eastAsia="Open Sans" w:hAnsi="Open Sans"/>
                <w:b/>
                <w:bCs/>
                <w:color w:val="FFFFFF"/>
                <w:sz w:val="22"/>
                <w:szCs w:val="22"/>
              </w:rPr>
              <w:t xml:space="preserve">Questions? Contact us at 949.379.8500 or rjain@technijian.com</w:t>
            </w:r>
          </w:p>
        </w:tc>
      </w:tr>
    </w:tbl>
    <w:sectPr>
      <w:headerReference w:type="default" r:id="rId7"/>
      <w:footerReference w:type="default" r:id="rId8"/>
      <w:pgSz w:w="12240" w:h="15840"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9ECEF" w:sz="1" w:space="6"/>
      </w:pBdr>
      <w:jc w:val="center"/>
    </w:pPr>
    <w:r>
      <w:rPr>
        <w:rFonts w:ascii="Open Sans" w:cs="Open Sans" w:eastAsia="Open Sans" w:hAnsi="Open Sans"/>
        <w:color w:val="59595B"/>
        <w:sz w:val="16"/>
        <w:szCs w:val="16"/>
      </w:rPr>
      <w:t xml:space="preserve">Technijian | 18 Technology Dr., Ste 141, Irvine, CA 92618 | 949.379.8500  •  Page </w:t>
    </w:r>
    <w:r>
      <w:rPr>
        <w:rFonts w:ascii="Open Sans" w:cs="Open Sans" w:eastAsia="Open Sans" w:hAnsi="Open Sans"/>
        <w:color w:val="59595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DB6" w:sz="2" w:space="6"/>
      </w:pBdr>
      <w:spacing w:after="60"/>
    </w:pPr>
    <w:r>
      <w:drawing>
        <wp:inline distT="0" distB="0" distL="0" distR="0">
          <wp:extent cx="1333500" cy="276225"/>
          <wp:effectExtent t="0" r="0" b="0" l="0"/>
          <wp:docPr id="1" name="logo" descr="Logo" title="Technij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76225"/>
                  </a:xfrm>
                  <a:prstGeom prst="rect">
                    <a:avLst/>
                  </a:prstGeom>
                </pic:spPr>
              </pic:pic>
            </a:graphicData>
          </a:graphic>
        </wp:inline>
      </w:drawing>
    </w:r>
    <w:r>
      <w:rPr>
        <w:rFonts w:ascii="Open Sans" w:cs="Open Sans" w:eastAsia="Open Sans" w:hAnsi="Open Sans"/>
        <w:i/>
        <w:iCs/>
        <w:color w:val="59595B"/>
        <w:sz w:val="16"/>
        <w:szCs w:val="16"/>
      </w:rPr>
      <w:t xml:space="preserve">	Master Services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59595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Open Sans" w:cs="Open Sans" w:eastAsia="Open Sans" w:hAnsi="Open Sans"/>
      <w:b/>
      <w:bCs/>
      <w:color w:val="006D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da411e2cba4fb0a0de5b42d0cbf546939e758d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da411e2cba4fb0a0de5b42d0cbf546939e758d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2026-03-07T20:07:55.472Z</dcterms:created>
  <dcterms:modified xsi:type="dcterms:W3CDTF">2026-03-07T20:07:55.473Z</dcterms:modified>
</cp:coreProperties>
</file>

<file path=docProps/custom.xml><?xml version="1.0" encoding="utf-8"?>
<Properties xmlns="http://schemas.openxmlformats.org/officeDocument/2006/custom-properties" xmlns:vt="http://schemas.openxmlformats.org/officeDocument/2006/docPropsVTypes"/>
</file>