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Open Sans" w:cs="Open Sans" w:eastAsia="Open Sans" w:hAnsi="Open Sans"/>
          <w:b/>
          <w:bCs/>
          <w:color w:val="006DB6"/>
          <w:sz w:val="36"/>
          <w:szCs w:val="36"/>
        </w:rPr>
        <w:t xml:space="preserve">[Service Name]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One-page overview of Technijian’s [service] offering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The Challenge</w:t>
            </w:r>
          </w:p>
        </w:tc>
      </w:tr>
    </w:tbl>
    <w:p>
      <w:pPr>
        <w:spacing w:after="160" w:before="80"/>
      </w:pPr>
      <w:r>
        <w:rPr>
          <w:color w:val="59595B"/>
          <w:sz w:val="20"/>
          <w:szCs w:val="20"/>
        </w:rPr>
        <w:t xml:space="preserve">Brief description of the business challenge this service addresses. Lead with the client’s pain point. What keeps IT leaders up at night? What business risks exist without this service?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Our Solution</w:t>
            </w:r>
          </w:p>
        </w:tc>
      </w:tr>
    </w:tbl>
    <w:p>
      <w:pPr>
        <w:spacing w:after="80" w:before="80"/>
      </w:pPr>
      <w:r>
        <w:rPr>
          <w:color w:val="59595B"/>
          <w:sz w:val="20"/>
          <w:szCs w:val="20"/>
        </w:rPr>
        <w:t xml:space="preserve">Brief description of how Technijian solves this challenge.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Key capability or feature of the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Second key capability with specific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Third capability that differentiates from competitors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Fourth capability focused on business outcome</w:t>
      </w:r>
    </w:p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Key Benefits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Proactive Protection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Predictability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Expert Team</w:t>
            </w:r>
          </w:p>
        </w:tc>
      </w:tr>
      <w:tr>
        <w:tc>
          <w:tcPr>
            <w:tcW w:type="dxa" w:w="336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9595B"/>
                <w:sz w:val="18"/>
                <w:szCs w:val="18"/>
              </w:rPr>
              <w:t xml:space="preserve">We monitor and prevent issues before they impact your business.</w:t>
            </w:r>
          </w:p>
        </w:tc>
        <w:tc>
          <w:tcPr>
            <w:tcW w:type="dxa" w:w="336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9595B"/>
                <w:sz w:val="18"/>
                <w:szCs w:val="18"/>
              </w:rPr>
              <w:t xml:space="preserve">Flat monthly pricing with no surprise bills or hidden fees.</w:t>
            </w:r>
          </w:p>
        </w:tc>
        <w:tc>
          <w:tcPr>
            <w:tcW w:type="dxa" w:w="336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9595B"/>
                <w:sz w:val="18"/>
                <w:szCs w:val="18"/>
              </w:rPr>
              <w:t xml:space="preserve">Your dedicated Technijians pod team knows your environment.</w:t>
            </w:r>
          </w:p>
        </w:tc>
      </w:tr>
    </w:tbl>
    <w:p>
      <w:pPr>
        <w:spacing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98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9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Why Technijian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25+ years serving SMBs and mid-market enterprises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Dedicated pod model — your own team, not rotating strangers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24/7 U.S. + India support included at no extra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B"/>
          <w:sz w:val="20"/>
          <w:szCs w:val="20"/>
        </w:rPr>
        <w:t xml:space="preserve">Cybersecurity-first approach powered by CrowdStrike</w:t>
      </w:r>
    </w:p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Ready to get started?  </w:t>
            </w: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Contact Ravi Jain at rjain@technijian.com or call 949.379.8500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none"/>
            <w:right w:val="none"/>
          </w:tcBorders>
          <w:shd w:fill="006DB6" w:val="clear"/>
          <w:tcMar>
            <w:top w:type="dxa" w:w="2"/>
            <w:left w:type="dxa" w:w="0"/>
            <w:bottom w:type="dxa" w:w="2"/>
            <w:right w:type="dxa" w:w="0"/>
          </w:tcMar>
        </w:tcPr>
        <w:p>
          <w:pPr>
            <w:spacing w:after="0" w:before="0"/>
          </w:pPr>
        </w:p>
      </w:tc>
    </w:tr>
  </w:tbl>
  <w:p>
    <w:pPr>
      <w:spacing w:before="6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Managed IT  •  Cybersecurity  •  Cloud  •  AI Development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333500" cy="276225"/>
                <wp:effectExtent t="0" r="0" b="0" l="0"/>
                <wp:docPr id="1" name="logo" descr="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8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949.379.8500 | technijian.com</w:t>
          </w:r>
        </w:p>
      </w:tc>
    </w:tr>
  </w:tbl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none"/>
            <w:right w:val="none"/>
          </w:tcBorders>
          <w:shd w:fill="F67D4B" w:val="clear"/>
          <w:tcMar>
            <w:top w:type="dxa" w:w="3"/>
            <w:left w:type="dxa" w:w="0"/>
            <w:bottom w:type="dxa" w:w="3"/>
            <w:right w:type="dxa" w:w="0"/>
          </w:tcMar>
        </w:tcPr>
        <w:p>
          <w:pPr>
            <w:spacing w:after="0" w:before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2026-03-07T20:21:06.669Z</dcterms:created>
  <dcterms:modified xsi:type="dcterms:W3CDTF">2026-03-07T20:21:06.671Z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